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lang w:val="sr-RS"/>
        </w:rPr>
      </w:pPr>
      <w:r>
        <w:rPr>
          <w:rStyle w:val="StrongEmphasistext"/>
          <w:lang w:val="sr-RS"/>
        </w:rPr>
        <w:t>Mihailo Vukorep (IN 40/2021)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Title"/>
        <w:rPr>
          <w:lang w:val="sr-RS"/>
        </w:rPr>
      </w:pPr>
      <w:r>
        <w:rPr>
          <w:lang w:val="sr-RS"/>
        </w:rPr>
        <w:t>Препознавање ручно написаног текста</w:t>
        <w:br/>
        <w:t>(Book Archiver)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ubtitle"/>
        <w:rPr>
          <w:lang w:val="sr-RS"/>
        </w:rPr>
      </w:pPr>
      <w:r>
        <w:rPr>
          <w:lang w:val="sr-RS"/>
        </w:rPr>
        <w:t>Извештај за практично истраживање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Увод</w:t>
      </w:r>
    </w:p>
    <w:p>
      <w:pPr>
        <w:pStyle w:val="Heading2"/>
        <w:rPr>
          <w:lang w:val="sr-RS"/>
        </w:rPr>
      </w:pPr>
      <w:r>
        <w:rPr>
          <w:lang w:val="sr-RS"/>
        </w:rPr>
        <w:t>Предмет истраживања</w:t>
      </w:r>
    </w:p>
    <w:p>
      <w:pPr>
        <w:pStyle w:val="Standard"/>
        <w:rPr>
          <w:lang w:val="sr-RS"/>
        </w:rPr>
      </w:pPr>
      <w:r>
        <w:rPr>
          <w:sz w:val="24"/>
          <w:lang w:val="sr-RS"/>
        </w:rPr>
        <w:t>Предмет овог пројекта се заснива на испитивање шта је све потребно да би раучар препознао ручно написан текст без коришћења неких већ готових библиотека које своје решење нуде у пар линија кода.</w:t>
      </w:r>
    </w:p>
    <w:p>
      <w:pPr>
        <w:pStyle w:val="Heading2"/>
        <w:rPr>
          <w:lang w:val="sr-RS"/>
        </w:rPr>
      </w:pPr>
      <w:r>
        <w:rPr>
          <w:lang w:val="sr-RS"/>
        </w:rPr>
        <w:t>Циљеви истраживања</w:t>
      </w:r>
    </w:p>
    <w:p>
      <w:pPr>
        <w:pStyle w:val="Textbody"/>
        <w:rPr>
          <w:lang w:val="sr-RS"/>
        </w:rPr>
      </w:pPr>
      <w:r>
        <w:rPr>
          <w:sz w:val="24"/>
          <w:lang w:val="sr-RS"/>
        </w:rPr>
        <w:t>Сам циљ пројекта јесте архивирање ручно написаних књига у неки текстуални документ зарад презервације истих.</w:t>
      </w:r>
    </w:p>
    <w:p>
      <w:pPr>
        <w:pStyle w:val="Heading2"/>
        <w:rPr>
          <w:lang w:val="sr-RS"/>
        </w:rPr>
      </w:pPr>
      <w:r>
        <w:rPr>
          <w:lang w:val="sr-RS"/>
        </w:rPr>
        <w:t>Задаци истраживања</w:t>
      </w:r>
    </w:p>
    <w:p>
      <w:pPr>
        <w:pStyle w:val="Textbody"/>
        <w:rPr>
          <w:lang w:val="sr-RS"/>
        </w:rPr>
      </w:pPr>
      <w:r>
        <w:rPr>
          <w:color w:val="000000"/>
          <w:sz w:val="24"/>
          <w:lang w:val="sr-RS"/>
        </w:rPr>
        <w:t>Можемо задатак за имплементирање оваквог програма поделити у две обимне целине.</w:t>
      </w:r>
    </w:p>
    <w:p>
      <w:pPr>
        <w:pStyle w:val="Textbody"/>
        <w:rPr>
          <w:lang w:val="sr-RS"/>
        </w:rPr>
      </w:pPr>
      <w:r>
        <w:rPr>
          <w:color w:val="000000"/>
          <w:sz w:val="24"/>
          <w:lang w:val="sr-RS"/>
        </w:rPr>
        <w:t>Првa целина представља само тренирање довољно добре конволуционе неуронске мреже за препознавање ручно написаног тескста, док другу целину представља издвајање индивидуалних карактера са слике и просеђивање тих слика истренираној мрежи.</w:t>
      </w:r>
    </w:p>
    <w:p>
      <w:pPr>
        <w:pStyle w:val="Textbody"/>
        <w:rPr>
          <w:lang w:val="sr-RS"/>
        </w:rPr>
      </w:pPr>
      <w:r>
        <w:rPr>
          <w:sz w:val="32"/>
          <w:lang w:val="sr-RS"/>
        </w:rPr>
        <w:t>Очекивани резултати истраживања</w:t>
      </w:r>
    </w:p>
    <w:p>
      <w:pPr>
        <w:pStyle w:val="Textbody"/>
        <w:rPr>
          <w:lang w:val="sr-RS"/>
        </w:rPr>
      </w:pPr>
      <w:r>
        <w:rPr>
          <w:sz w:val="24"/>
          <w:lang w:val="sr-RS"/>
        </w:rPr>
        <w:t>Због недостатка рачунарске снаге које поседујемо не очекујемо да ћемо имати неке довољно успешне резултате.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Методологија</w:t>
      </w:r>
    </w:p>
    <w:p>
      <w:pPr>
        <w:pStyle w:val="Heading2"/>
        <w:rPr>
          <w:lang w:val="sr-RS"/>
        </w:rPr>
      </w:pPr>
      <w:r>
        <w:rPr>
          <w:lang w:val="sr-RS"/>
        </w:rPr>
        <w:t>Коришћени подаци</w:t>
      </w:r>
    </w:p>
    <w:p>
      <w:pPr>
        <w:pStyle w:val="Standard"/>
        <w:jc w:val="start"/>
        <w:rPr>
          <w:lang w:val="sr-RS"/>
        </w:rPr>
      </w:pPr>
      <w:r>
        <w:rPr>
          <w:lang w:val="sr-RS"/>
        </w:rPr>
        <w:t>Користимо један од познатијих тренинг скупова под именом EMNIST (Extended MNIST). Његов претходник MNIST је био сачињен само од ручно написаних цифара, док је EMNIST сачињен и од малих и великих слова. Слике су црно-беле и у формату 28*28 пиксела.</w:t>
      </w:r>
    </w:p>
    <w:p>
      <w:pPr>
        <w:pStyle w:val="Standard"/>
        <w:jc w:val="start"/>
        <w:rPr>
          <w:lang w:val="sr-RS"/>
        </w:rPr>
      </w:pPr>
      <w:r>
        <w:rPr>
          <w:lang w:val="sr-RS"/>
        </w:rPr>
        <w:t xml:space="preserve">Сами подаци су подељени по категеоријама: </w:t>
      </w:r>
      <w:r>
        <w:rPr>
          <w:rFonts w:eastAsia="" w:cs=""/>
          <w:kern w:val="2"/>
          <w:sz w:val="22"/>
          <w:szCs w:val="22"/>
          <w:lang w:val="sr-RS" w:eastAsia="en-US" w:bidi="ar-SA"/>
        </w:rPr>
        <w:t>ByClass, ByMerge, Balanced, Letters, Digits, MNIST</w:t>
      </w:r>
    </w:p>
    <w:p>
      <w:pPr>
        <w:pStyle w:val="Standard"/>
        <w:jc w:val="start"/>
        <w:rPr>
          <w:lang w:val="sr-RS"/>
        </w:rPr>
      </w:pPr>
      <w:r>
        <w:rPr>
          <w:rFonts w:eastAsia="" w:cs=""/>
          <w:kern w:val="2"/>
          <w:sz w:val="22"/>
          <w:szCs w:val="22"/>
          <w:lang w:val="sr-RS" w:eastAsia="en-US" w:bidi="ar-SA"/>
        </w:rPr>
        <w:t>Такође је свака категорија подељена на тренинг и тест скупове.</w:t>
      </w:r>
    </w:p>
    <w:tbl>
      <w:tblPr>
        <w:tblStyle w:val="TableGrid"/>
        <w:tblW w:w="102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1" w:firstColumn="1" w:lastRow="0" w:lastColumn="0" w:firstRow="1"/>
      </w:tblPr>
      <w:tblGrid>
        <w:gridCol w:w="2014"/>
        <w:gridCol w:w="1916"/>
        <w:gridCol w:w="1850"/>
        <w:gridCol w:w="1260"/>
        <w:gridCol w:w="3240"/>
      </w:tblGrid>
      <w:tr>
        <w:trPr>
          <w:trHeight w:val="650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Назив категорије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Укупан б</w:t>
            </w: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рој</w:t>
              <w:br/>
              <w:t>слика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Тренинр</w:t>
              <w:br/>
              <w:t>(train)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Тест</w:t>
              <w:br/>
              <w:t>(test)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Број класа (карактера)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ByClass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814 255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697 932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116 323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62</w:t>
            </w:r>
          </w:p>
        </w:tc>
      </w:tr>
      <w:tr>
        <w:trPr>
          <w:trHeight w:val="336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ByMerge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814 255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697 932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116 323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47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Balanced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131 600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112 800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18 800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47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Letters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145 600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124 800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20 800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26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Digits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280 000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240 000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40 000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10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MNIST</w:t>
            </w:r>
          </w:p>
        </w:tc>
        <w:tc>
          <w:tcPr>
            <w:tcW w:w="191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70 000</w:t>
            </w:r>
          </w:p>
        </w:tc>
        <w:tc>
          <w:tcPr>
            <w:tcW w:w="185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60 000</w:t>
            </w:r>
          </w:p>
        </w:tc>
        <w:tc>
          <w:tcPr>
            <w:tcW w:w="1260" w:type="dxa"/>
            <w:tcBorders>
              <w:end w:val="nil"/>
            </w:tcBorders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10 000</w:t>
            </w:r>
          </w:p>
        </w:tc>
        <w:tc>
          <w:tcPr>
            <w:tcW w:w="3240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10</w:t>
            </w:r>
          </w:p>
        </w:tc>
      </w:tr>
    </w:tbl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sr-RS"/>
        </w:rPr>
        <w:t>Пре коришћења самог скупа проверамамо да ли постоје дупликати.</w:t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rFonts w:ascii="Times New Roman" w:hAnsi="Times New Roman"/>
          <w:sz w:val="24"/>
          <w:szCs w:val="24"/>
          <w:lang w:val="sr-RS"/>
        </w:rPr>
      </w:pPr>
      <w:r>
        <w:rPr>
          <w:rFonts w:ascii="Times New Roman" w:hAnsi="Times New Roman"/>
          <w:sz w:val="24"/>
          <w:szCs w:val="24"/>
          <w:lang w:val="sr-RS"/>
        </w:rPr>
        <w:t xml:space="preserve">Дупликате пролазимо тако што израчунавамо MD5 хеш за сваку индивидуалну слику затим </w:t>
      </w:r>
      <w:r>
        <w:rPr>
          <w:rFonts w:ascii="Times New Roman" w:hAnsi="Times New Roman"/>
          <w:sz w:val="24"/>
          <w:szCs w:val="24"/>
          <w:lang w:val="sr-RS"/>
        </w:rPr>
        <w:t>мапирамо хеш на индек слике у сету који касније поредимо са следећим хешом који рачунамо. Ако израчунамо хеш који смо претходно израчунали наишли смо на дупликат.</w:t>
      </w:r>
    </w:p>
    <w:p>
      <w:pPr>
        <w:pStyle w:val="Normal"/>
        <w:rPr>
          <w:lang w:val="sr-RS"/>
        </w:rPr>
      </w:pPr>
      <w:r>
        <w:rPr>
          <w:lang w:val="sr-RS"/>
        </w:rPr>
        <w:t>A</w:t>
      </w:r>
      <w:r>
        <w:rPr>
          <w:lang w:val="sr-RS"/>
        </w:rPr>
        <w:t xml:space="preserve">нализом сваке </w:t>
      </w:r>
      <w:r>
        <w:rPr>
          <w:lang w:val="sr-RS"/>
        </w:rPr>
        <w:t xml:space="preserve">од </w:t>
      </w:r>
      <w:r>
        <w:rPr>
          <w:lang w:val="sr-RS"/>
        </w:rPr>
        <w:t>категориј</w:t>
      </w:r>
      <w:r>
        <w:rPr>
          <w:lang w:val="sr-RS"/>
        </w:rPr>
        <w:t>а</w:t>
      </w:r>
      <w:r>
        <w:rPr>
          <w:lang w:val="sr-RS"/>
        </w:rPr>
        <w:t xml:space="preserve">, утврђено је да постоје дупликати </w:t>
      </w:r>
      <w:r>
        <w:rPr>
          <w:lang w:val="sr-RS"/>
        </w:rPr>
        <w:t>у тренинг сетовима:</w:t>
      </w:r>
    </w:p>
    <w:p>
      <w:pPr>
        <w:pStyle w:val="Normal"/>
        <w:rPr>
          <w:lang w:val="sr-RS"/>
        </w:rPr>
      </w:pPr>
      <w:r>
        <w:rPr/>
      </w:r>
    </w:p>
    <w:tbl>
      <w:tblPr>
        <w:tblStyle w:val="TableGrid"/>
        <w:tblW w:w="43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noHBand="0" w:noVBand="1" w:firstColumn="1" w:lastRow="0" w:lastColumn="0" w:firstRow="1"/>
      </w:tblPr>
      <w:tblGrid>
        <w:gridCol w:w="2014"/>
        <w:gridCol w:w="2326"/>
      </w:tblGrid>
      <w:tr>
        <w:trPr>
          <w:trHeight w:val="650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Назив категорије</w:t>
            </w:r>
          </w:p>
        </w:tc>
        <w:tc>
          <w:tcPr>
            <w:tcW w:w="232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center"/>
              <w:textAlignment w:val="baseline"/>
              <w:rPr>
                <w:rFonts w:eastAsia="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/>
                <w:b/>
                <w:bCs/>
                <w:kern w:val="2"/>
                <w:sz w:val="22"/>
                <w:szCs w:val="22"/>
                <w:lang w:val="sr-RS" w:eastAsia="en-US" w:bidi="ar-SA"/>
              </w:rPr>
              <w:t>Број дупликата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ByClass</w:t>
            </w:r>
          </w:p>
        </w:tc>
        <w:tc>
          <w:tcPr>
            <w:tcW w:w="232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9</w:t>
            </w:r>
          </w:p>
        </w:tc>
      </w:tr>
      <w:tr>
        <w:trPr>
          <w:trHeight w:val="336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ByMerge</w:t>
            </w:r>
          </w:p>
        </w:tc>
        <w:tc>
          <w:tcPr>
            <w:tcW w:w="232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9</w:t>
            </w:r>
          </w:p>
        </w:tc>
      </w:tr>
      <w:tr>
        <w:trPr>
          <w:trHeight w:val="329" w:hRule="atLeast"/>
        </w:trPr>
        <w:tc>
          <w:tcPr>
            <w:tcW w:w="2014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EMNIST Letters</w:t>
            </w:r>
          </w:p>
        </w:tc>
        <w:tc>
          <w:tcPr>
            <w:tcW w:w="2326" w:type="dxa"/>
            <w:tcBorders/>
          </w:tcPr>
          <w:p>
            <w:pPr>
              <w:pStyle w:val="Standard"/>
              <w:widowControl w:val="false"/>
              <w:suppressAutoHyphens w:val="true"/>
              <w:overflowPunct w:val="true"/>
              <w:spacing w:before="0" w:after="159"/>
              <w:jc w:val="start"/>
              <w:textAlignment w:val="baseline"/>
              <w:rPr>
                <w:lang w:val="sr-RS"/>
              </w:rPr>
            </w:pPr>
            <w:r>
              <w:rPr>
                <w:rFonts w:eastAsia="" w:cs=""/>
                <w:kern w:val="2"/>
                <w:sz w:val="22"/>
                <w:szCs w:val="22"/>
                <w:lang w:val="sr-RS" w:eastAsia="en-US" w:bidi="ar-SA"/>
              </w:rPr>
              <w:t>5</w:t>
            </w:r>
          </w:p>
        </w:tc>
      </w:tr>
    </w:tbl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  <w:t>Даљом аналзизом је утврђено да категорије попут ByClass и ByMerge имају велики број слика који међусобно користе, на пример ByClass тренинг (train) скуп садржи слике које ByMerge користи у свом (test) скупу.</w:t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  <w:t>Консултовати следећи графикон:</w:t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lang w:val="sr-RS"/>
        </w:rPr>
      </w:pPr>
      <w:r>
        <w:rPr>
          <w:lang w:val="sr-RS"/>
        </w:rPr>
        <w:t>Тако да је одлучено да</w:t>
      </w:r>
    </w:p>
    <w:p>
      <w:pPr>
        <w:pStyle w:val="Standard"/>
        <w:widowControl w:val="false"/>
        <w:suppressAutoHyphens w:val="true"/>
        <w:overflowPunct w:val="true"/>
        <w:spacing w:before="0" w:after="159"/>
        <w:jc w:val="start"/>
        <w:textAlignment w:val="baseline"/>
        <w:rPr>
          <w:sz w:val="24"/>
          <w:szCs w:val="24"/>
          <w:lang w:val="sr-RS"/>
        </w:rPr>
      </w:pPr>
      <w:r>
        <w:rPr>
          <w:sz w:val="24"/>
          <w:szCs w:val="24"/>
          <w:lang w:val="sr-RS"/>
        </w:rPr>
      </w:r>
    </w:p>
    <w:p>
      <w:pPr>
        <w:pStyle w:val="Standard"/>
        <w:rPr>
          <w:lang w:val="sr-RS"/>
        </w:rPr>
      </w:pPr>
      <w:r>
        <w:rPr>
          <w:sz w:val="32"/>
          <w:lang w:val="sr-RS"/>
        </w:rPr>
        <w:t>Претходна истраживања других особа над коришћеним подацима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Heading2"/>
        <w:rPr>
          <w:lang w:val="sr-RS"/>
        </w:rPr>
      </w:pPr>
      <w:r>
        <w:rPr>
          <w:lang w:val="sr-RS"/>
        </w:rPr>
        <w:t>Методе истраживања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Резултати</w:t>
      </w:r>
    </w:p>
    <w:p>
      <w:pPr>
        <w:pStyle w:val="Heading2"/>
        <w:rPr>
          <w:lang w:val="sr-RS"/>
        </w:rPr>
      </w:pPr>
      <w:r>
        <w:rPr>
          <w:lang w:val="sr-RS"/>
        </w:rPr>
        <w:t>Приказ резултата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rPr>
          <w:lang w:val="sr-RS"/>
        </w:rPr>
      </w:pPr>
      <w:r>
        <w:rPr>
          <w:lang w:val="sr-RS"/>
        </w:rPr>
        <w:t>Тумачење резултата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Закључак</w:t>
      </w:r>
    </w:p>
    <w:p>
      <w:pPr>
        <w:pStyle w:val="Heading2"/>
        <w:rPr>
          <w:lang w:val="sr-RS"/>
        </w:rPr>
      </w:pPr>
      <w:r>
        <w:rPr>
          <w:lang w:val="sr-RS"/>
        </w:rPr>
        <w:t>Анализа испуњења циљева истраживања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rPr>
          <w:lang w:val="sr-RS"/>
        </w:rPr>
      </w:pPr>
      <w:r>
        <w:rPr>
          <w:lang w:val="sr-RS"/>
        </w:rPr>
        <w:t>Анализа остварења очекиваних резултата истраживања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rPr>
          <w:lang w:val="sr-RS"/>
        </w:rPr>
      </w:pPr>
      <w:r>
        <w:rPr>
          <w:lang w:val="sr-RS"/>
        </w:rPr>
        <w:t>Могућности за примену истраживања у пракси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rPr>
          <w:lang w:val="sr-RS"/>
        </w:rPr>
      </w:pPr>
      <w:r>
        <w:rPr>
          <w:lang w:val="sr-RS"/>
        </w:rPr>
        <w:t>Идеје за побољшање и разраду истраживања</w:t>
      </w:r>
    </w:p>
    <w:p>
      <w:pPr>
        <w:pStyle w:val="Standard"/>
        <w:rPr>
          <w:lang w:val="sr-RS"/>
        </w:rPr>
      </w:pPr>
      <w:r>
        <w:rPr>
          <w:lang w:val="sr-RS"/>
        </w:rPr>
        <w:t>...</w:t>
      </w:r>
    </w:p>
    <w:p>
      <w:pPr>
        <w:pStyle w:val="Standard"/>
        <w:rPr>
          <w:lang w:val="sr-RS"/>
        </w:rPr>
      </w:pPr>
      <w:r>
        <w:rPr>
          <w:lang w:val="sr-RS"/>
        </w:rPr>
      </w:r>
    </w:p>
    <w:p>
      <w:pPr>
        <w:pStyle w:val="Standard"/>
        <w:rPr>
          <w:lang w:val="sr-RS"/>
        </w:rPr>
      </w:pPr>
      <w:r>
        <w:rPr>
          <w:lang w:val="sr-RS"/>
        </w:rPr>
      </w:r>
      <w:r>
        <w:br w:type="page"/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>
          <w:lang w:val="sr-RS"/>
        </w:rPr>
      </w:pPr>
      <w:r>
        <w:rPr>
          <w:lang w:val="sr-RS"/>
        </w:rPr>
        <w:t>Литература</w:t>
      </w:r>
    </w:p>
    <w:p>
      <w:pPr>
        <w:pStyle w:val="Heading2"/>
        <w:numPr>
          <w:ilvl w:val="0"/>
          <w:numId w:val="1"/>
        </w:numPr>
        <w:spacing w:before="0" w:after="159"/>
        <w:ind w:start="720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numPr>
          <w:ilvl w:val="1"/>
          <w:numId w:val="1"/>
        </w:numPr>
        <w:spacing w:before="0" w:after="159"/>
        <w:rPr>
          <w:lang w:val="sr-RS"/>
        </w:rPr>
      </w:pPr>
      <w:r>
        <w:rPr>
          <w:lang w:val="sr-RS"/>
        </w:rPr>
        <w:t>...</w:t>
      </w:r>
    </w:p>
    <w:p>
      <w:pPr>
        <w:pStyle w:val="Heading2"/>
        <w:numPr>
          <w:ilvl w:val="1"/>
          <w:numId w:val="1"/>
        </w:numPr>
        <w:spacing w:before="0" w:after="159"/>
        <w:rPr>
          <w:lang w:val="sr-RS"/>
        </w:rPr>
      </w:pPr>
      <w:r>
        <w:rPr>
          <w:lang w:val="sr-RS"/>
        </w:rPr>
        <w:t>...</w:t>
      </w:r>
    </w:p>
    <w:p>
      <w:pPr>
        <w:pStyle w:val="Standard"/>
        <w:spacing w:before="0" w:after="159"/>
        <w:rPr>
          <w:lang w:val="sr-RS"/>
        </w:rPr>
      </w:pPr>
      <w:r>
        <w:rPr>
          <w:lang w:val="sr-R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360" w:hanging="36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start"/>
      <w:textAlignment w:val="baseline"/>
    </w:pPr>
    <w:rPr>
      <w:rFonts w:ascii="Cambria" w:hAnsi="Cambria" w:eastAsia="" w:cs="" w:cstheme="minorBidi" w:eastAsiaTheme="minorEastAsia"/>
      <w:color w:val="auto"/>
      <w:kern w:val="2"/>
      <w:sz w:val="24"/>
      <w:szCs w:val="22"/>
      <w:lang w:val="en-GB" w:eastAsia="en-US" w:bidi="ar-SA"/>
    </w:rPr>
  </w:style>
  <w:style w:type="paragraph" w:styleId="Heading1">
    <w:name w:val="Heading 1"/>
    <w:basedOn w:val="Heading"/>
    <w:next w:val="Textbody"/>
    <w:uiPriority w:val="9"/>
    <w:qFormat/>
    <w:pPr>
      <w:spacing w:before="198" w:after="238"/>
      <w:outlineLvl w:val="0"/>
    </w:pPr>
    <w:rPr>
      <w:sz w:val="40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119"/>
      <w:outlineLvl w:val="1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text" w:customStyle="1">
    <w:name w:val="Strong Emphasis_text"/>
    <w:qFormat/>
    <w:rPr>
      <w:b/>
    </w:rPr>
  </w:style>
  <w:style w:type="character" w:styleId="Heading2Chartext" w:customStyle="1">
    <w:name w:val="Heading 2 Char_text"/>
    <w:qFormat/>
    <w:rPr>
      <w:rFonts w:ascii="Times New Roman" w:hAnsi="Times New Roman"/>
      <w:sz w:val="26"/>
    </w:rPr>
  </w:style>
  <w:style w:type="character" w:styleId="HeaderChartext" w:customStyle="1">
    <w:name w:val="Header Char_text"/>
    <w:qFormat/>
    <w:rPr>
      <w:rFonts w:ascii="Times New Roman" w:hAnsi="Times New Roman"/>
      <w:sz w:val="24"/>
    </w:rPr>
  </w:style>
  <w:style w:type="character" w:styleId="Heading1Chartext" w:customStyle="1">
    <w:name w:val="Heading 1 Char_text"/>
    <w:qFormat/>
    <w:rPr>
      <w:rFonts w:ascii="Times New Roman" w:hAnsi="Times New Roman"/>
      <w:sz w:val="32"/>
    </w:rPr>
  </w:style>
  <w:style w:type="character" w:styleId="Internetlinktext" w:customStyle="1">
    <w:name w:val="Internet link_text"/>
    <w:qFormat/>
    <w:rPr/>
  </w:style>
  <w:style w:type="character" w:styleId="BulletSymbolstext" w:customStyle="1">
    <w:name w:val="Bullet Symbols_text"/>
    <w:qFormat/>
    <w:rPr>
      <w:rFonts w:ascii="OpenSymbol" w:hAnsi="OpenSymbol"/>
    </w:rPr>
  </w:style>
  <w:style w:type="character" w:styleId="FooterChartext" w:customStyle="1">
    <w:name w:val="Footer Char_text"/>
    <w:qFormat/>
    <w:rPr>
      <w:rFonts w:ascii="Times New Roman" w:hAnsi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mbria" w:hAnsi="Cambri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/>
    <w:rPr>
      <w:rFonts w:ascii="Cambria" w:hAnsi="Cambria"/>
    </w:rPr>
  </w:style>
  <w:style w:type="paragraph" w:styleId="HeaderandFooter" w:customStyle="1">
    <w:name w:val="Header and Footer"/>
    <w:basedOn w:val="Standard"/>
    <w:qFormat/>
    <w:pPr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HeaderandFooter"/>
    <w:pPr>
      <w:spacing w:lineRule="auto" w:line="240" w:before="0" w:after="0"/>
      <w:jc w:val="center"/>
    </w:pPr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Heading"/>
    <w:next w:val="Textbody"/>
    <w:uiPriority w:val="10"/>
    <w:qFormat/>
    <w:pPr>
      <w:spacing w:lineRule="auto" w:line="240" w:before="0" w:after="0"/>
      <w:jc w:val="center"/>
    </w:pPr>
    <w:rPr>
      <w:sz w:val="72"/>
    </w:rPr>
  </w:style>
  <w:style w:type="paragraph" w:styleId="Contents4" w:customStyle="1">
    <w:name w:val="Contents 4"/>
    <w:basedOn w:val="Normal"/>
    <w:next w:val="Normal"/>
    <w:qFormat/>
    <w:pPr>
      <w:ind w:hanging="432" w:start="2880"/>
    </w:pPr>
    <w:rPr/>
  </w:style>
  <w:style w:type="paragraph" w:styleId="Contents2" w:customStyle="1">
    <w:name w:val="Contents 2"/>
    <w:basedOn w:val="Normal"/>
    <w:next w:val="Normal"/>
    <w:qFormat/>
    <w:pPr>
      <w:ind w:hanging="432" w:start="1440"/>
    </w:pPr>
    <w:rPr/>
  </w:style>
  <w:style w:type="paragraph" w:styleId="Standard" w:customStyle="1">
    <w:name w:val="Standard"/>
    <w:qFormat/>
    <w:pPr>
      <w:widowControl w:val="false"/>
      <w:suppressAutoHyphens w:val="true"/>
      <w:overflowPunct w:val="true"/>
      <w:bidi w:val="0"/>
      <w:spacing w:lineRule="auto" w:line="259" w:before="0" w:after="159"/>
      <w:jc w:val="both"/>
      <w:textAlignment w:val="baseline"/>
    </w:pPr>
    <w:rPr>
      <w:rFonts w:ascii="Times New Roman" w:hAnsi="Times New Roman" w:eastAsia="" w:cs="" w:cstheme="minorBidi" w:eastAsiaTheme="minorEastAsia"/>
      <w:color w:val="auto"/>
      <w:kern w:val="2"/>
      <w:sz w:val="22"/>
      <w:szCs w:val="22"/>
      <w:lang w:val="en-US" w:eastAsia="en-US" w:bidi="ar-SA"/>
    </w:rPr>
  </w:style>
  <w:style w:type="paragraph" w:styleId="Header">
    <w:name w:val="Header"/>
    <w:basedOn w:val="Standard"/>
    <w:pPr>
      <w:tabs>
        <w:tab w:val="clear" w:pos="709"/>
        <w:tab w:val="center" w:pos="4511" w:leader="none"/>
        <w:tab w:val="right" w:pos="9026" w:leader="none"/>
      </w:tabs>
      <w:spacing w:lineRule="auto" w:line="240"/>
    </w:pPr>
    <w:rPr/>
  </w:style>
  <w:style w:type="paragraph" w:styleId="TableContents" w:customStyle="1">
    <w:name w:val="Table Contents"/>
    <w:basedOn w:val="Standard"/>
    <w:qFormat/>
    <w:pPr/>
    <w:rPr/>
  </w:style>
  <w:style w:type="paragraph" w:styleId="Contents3" w:customStyle="1">
    <w:name w:val="Contents 3"/>
    <w:basedOn w:val="Normal"/>
    <w:next w:val="Normal"/>
    <w:qFormat/>
    <w:pPr>
      <w:ind w:hanging="432" w:start="2160"/>
    </w:pPr>
    <w:rPr/>
  </w:style>
  <w:style w:type="paragraph" w:styleId="Subtitle">
    <w:name w:val="Subtitle"/>
    <w:basedOn w:val="Heading"/>
    <w:next w:val="Textbody"/>
    <w:uiPriority w:val="11"/>
    <w:qFormat/>
    <w:pPr>
      <w:spacing w:before="0" w:after="159"/>
      <w:jc w:val="center"/>
    </w:pPr>
    <w:rPr>
      <w:sz w:val="40"/>
    </w:rPr>
  </w:style>
  <w:style w:type="paragraph" w:styleId="Caption1">
    <w:name w:val="caption1"/>
    <w:basedOn w:val="Standard"/>
    <w:qFormat/>
    <w:pPr>
      <w:spacing w:before="120" w:after="120"/>
    </w:pPr>
    <w:rPr>
      <w:rFonts w:ascii="Cambria" w:hAnsi="Cambria"/>
      <w:i/>
      <w:sz w:val="24"/>
    </w:rPr>
  </w:style>
  <w:style w:type="paragraph" w:styleId="Contents1" w:customStyle="1">
    <w:name w:val="Contents 1"/>
    <w:basedOn w:val="Normal"/>
    <w:next w:val="Normal"/>
    <w:qFormat/>
    <w:pPr>
      <w:ind w:hanging="432" w:start="72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eGrid">
    <w:name w:val="Table Grid"/>
    <w:basedOn w:val="TableNormal"/>
    <w:uiPriority w:val="39"/>
    <w:rsid w:val="00ec6381"/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">
              <a:schemeClr val="phClr">
                <a:lumMod val="105000"/>
                <a:tint val="73000"/>
              </a:schemeClr>
            </a:gs>
            <a:gs pos="1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">
              <a:schemeClr val="phClr">
                <a:lumMod val="100000"/>
                <a:shade val="100000"/>
              </a:schemeClr>
            </a:gs>
            <a:gs pos="1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"/>
        </a:ln>
        <a:ln w="12700" cap="flat" cmpd="sng" algn="ctr">
          <a:prstDash val="solid"/>
          <a:miter lim="800"/>
        </a:ln>
        <a:ln w="19050" cap="flat" cmpd="sng" algn="ctr">
          <a:prstDash val="solid"/>
          <a:miter lim="8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">
              <a:schemeClr val="phClr">
                <a:tint val="98000"/>
                <a:shade val="90000"/>
                <a:lumMod val="103000"/>
              </a:schemeClr>
            </a:gs>
            <a:gs pos="1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LibreOffice/7.6.7.2$Linux_X86_64 LibreOffice_project/60$Build-2</Application>
  <AppVersion>15.0000</AppVersion>
  <Pages>7</Pages>
  <Words>419</Words>
  <Characters>2381</Characters>
  <CharactersWithSpaces>2710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2024-06-01T08:19:00Z</dcterms:created>
  <dc:creator>user</dc:creator>
  <dc:description/>
  <dc:language>en-US</dc:language>
  <cp:lastModifiedBy/>
  <dcterms:modified xsi:type="dcterms:W3CDTF">2024-06-01T10:55:41Z</dcterms:modified>
  <cp:revision>8</cp:revision>
  <dc:subject/>
  <dc:title/>
</cp:coreProperties>
</file>