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0E7C7B"/>
          <w:spacing w:val="20"/>
          <w:sz w:val="28"/>
          <w:szCs w:val="28"/>
        </w:rPr>
        <w:t xml:space="preserve">IIIoT INFOTECH</w:t>
      </w:r>
    </w:p>
    <w:p>
      <w:pPr>
        <w:spacing w:before="240"/>
        <w:jc w:val="center"/>
      </w:pPr>
      <w:r>
        <w:rPr>
          <w:b/>
          <w:bCs/>
          <w:color w:val="1F3864"/>
          <w:sz w:val="56"/>
          <w:szCs w:val="56"/>
        </w:rPr>
        <w:t xml:space="preserve">Triple IIoT</w:t>
      </w:r>
    </w:p>
    <w:p>
      <w:pPr>
        <w:jc w:val="center"/>
      </w:pPr>
      <w:r>
        <w:rPr>
          <w:b/>
          <w:bCs/>
          <w:color w:val="1F3864"/>
          <w:sz w:val="56"/>
          <w:szCs w:val="56"/>
        </w:rPr>
        <w:t xml:space="preserve">Manufacturing Agentic AI</w:t>
      </w:r>
    </w:p>
    <w:p>
      <w:pPr>
        <w:spacing w:after="600" w:before="200"/>
        <w:jc w:val="center"/>
      </w:pPr>
      <w:r>
        <w:rPr>
          <w:i/>
          <w:iCs/>
          <w:color w:val="595959"/>
          <w:sz w:val="24"/>
          <w:szCs w:val="24"/>
        </w:rPr>
        <w:t xml:space="preserve">A Universal, Version-Agnostic Agentic AI Platform for MES · SCADA · IoT · ERP</w:t>
      </w:r>
    </w:p>
    <w:p>
      <w:pPr>
        <w:jc w:val="center"/>
      </w:pPr>
      <w:r>
        <w:rPr>
          <w:b/>
          <w:bCs/>
          <w:color w:val="0E7C7B"/>
          <w:sz w:val="22"/>
          <w:szCs w:val="22"/>
        </w:rPr>
        <w:t xml:space="preserve">IMPLEMENTATION &amp; TECHNICAL BLUEPRINT</w:t>
      </w:r>
    </w:p>
    <w:p>
      <w:pPr>
        <w:spacing w:before="60"/>
        <w:jc w:val="center"/>
      </w:pPr>
      <w:r>
        <w:rPr>
          <w:color w:val="595959"/>
          <w:sz w:val="20"/>
          <w:szCs w:val="20"/>
        </w:rPr>
        <w:t xml:space="preserve">Developer Reference Document · v1.0</w:t>
      </w:r>
    </w:p>
    <w:p>
      <w:pPr>
        <w:spacing w:before="60"/>
        <w:jc w:val="center"/>
      </w:pPr>
      <w:r>
        <w:rPr>
          <w:color w:val="595959"/>
          <w:sz w:val="20"/>
          <w:szCs w:val="20"/>
        </w:rPr>
        <w:t xml:space="preserve">Prepared: August 2026</w:t>
      </w:r>
    </w:p>
    <w:p>
      <w:pPr>
        <w:spacing w:before="2400"/>
        <w:jc w:val="center"/>
      </w:pPr>
      <w:r>
        <w:rPr>
          <w:i/>
          <w:iCs/>
          <w:color w:val="595959"/>
          <w:sz w:val="18"/>
          <w:szCs w:val="18"/>
        </w:rPr>
        <w:t xml:space="preserve">Confidential — For Internal Development Use Only</w:t>
      </w:r>
    </w:p>
    <w:p>
      <w:r>
        <w:br w:type="page"/>
      </w:r>
    </w:p>
    <w:p>
      <w:pPr>
        <w:pStyle w:val="Heading1"/>
        <w:pBdr>
          <w:bottom w:val="single" w:color="0E7C7B" w:sz="8" w:space="4"/>
        </w:pBdr>
        <w:spacing w:after="240" w:before="480"/>
      </w:pPr>
      <w:r>
        <w:rPr>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350" w:bottom="1440" w:left="1350" w:header="708" w:footer="708" w:gutter="0"/>
          <w:pgNumType/>
          <w:docGrid w:linePitch="360"/>
        </w:sectPr>
      </w:pPr>
    </w:p>
    <w:p>
      <w:pPr>
        <w:pStyle w:val="Heading1"/>
        <w:pBdr>
          <w:bottom w:val="single" w:color="0E7C7B" w:sz="8" w:space="4"/>
        </w:pBdr>
        <w:spacing w:after="240" w:before="480"/>
      </w:pPr>
      <w:r>
        <w:rPr>
          <w:b/>
          <w:bCs/>
          <w:color w:val="1F3864"/>
          <w:sz w:val="30"/>
          <w:szCs w:val="30"/>
        </w:rPr>
        <w:t xml:space="preserve">1. Executive Summary</w:t>
      </w:r>
    </w:p>
    <w:p>
      <w:pPr>
        <w:spacing w:after="160" w:line="276"/>
        <w:jc w:val="both"/>
      </w:pPr>
      <w:r>
        <w:rPr>
          <w:sz w:val="21"/>
          <w:szCs w:val="21"/>
        </w:rPr>
        <w:t xml:space="preserve">IIIoT Infotech operates a portfolio of industrial software products — MES, SCADA, IoT device management, ERP, financials and HRMS — each built and deployed independently per customer. "Triple IIoT Manufacturing Agentic AI" is the company's next product: a single, universal agentic AI layer that sits above any customer's existing MES/SCADA/IoT/ERP stack and delivers continuously-running AI agents for operations, maintenance, safety, finance and supply chain — without requiring a rebuild every time a customer runs a different product version or a different schema.</w:t>
      </w:r>
    </w:p>
    <w:p>
      <w:pPr>
        <w:spacing w:after="160" w:line="276"/>
        <w:jc w:val="both"/>
      </w:pPr>
      <w:r>
        <w:rPr>
          <w:b/>
          <w:bCs/>
          <w:color w:val="1F3864"/>
          <w:sz w:val="21"/>
          <w:szCs w:val="21"/>
        </w:rPr>
        <w:t xml:space="preserve">The central engineering problem this document solves: </w:t>
      </w:r>
      <w:r>
        <w:rPr>
          <w:sz w:val="21"/>
          <w:szCs w:val="21"/>
        </w:rPr>
        <w:t xml:space="preserve">manufacturers on the ground run dozens of MES/SCADA versions, each with its own database schema, table names and column sets. A platform that hard-codes queries against one customer's schema will break on the next customer, and will break again the moment that customer upgrades. This blueprint defines a schema-driven, adapter-based architecture so that one agentic AI codebase can serve every version of every connected system without per-customer rewrites.</w:t>
      </w:r>
    </w:p>
    <w:p>
      <w:pPr>
        <w:spacing w:after="160" w:line="276"/>
        <w:jc w:val="both"/>
      </w:pPr>
      <w:r>
        <w:rPr>
          <w:sz w:val="21"/>
          <w:szCs w:val="21"/>
        </w:rPr>
        <w:t xml:space="preserve">This document is written for the development team building the platform. It covers system architecture, the universal integration strategy, the agent framework, the full technology stack, database design, security, cost governance, deployment models and a phased roadmap. It is deliberately detailed — every section is meant to answer a developer's "how exactly do I build this" question, not just describe the idea at a high level.</w:t>
      </w:r>
    </w:p>
    <w:p>
      <w:pPr>
        <w:pStyle w:val="Heading1"/>
        <w:pBdr>
          <w:bottom w:val="single" w:color="0E7C7B" w:sz="8" w:space="4"/>
        </w:pBdr>
        <w:spacing w:after="240" w:before="480"/>
      </w:pPr>
      <w:r>
        <w:rPr>
          <w:b/>
          <w:bCs/>
          <w:color w:val="1F3864"/>
          <w:sz w:val="30"/>
          <w:szCs w:val="30"/>
        </w:rPr>
        <w:t xml:space="preserve">2. Project Vision &amp; Objectives</w:t>
      </w:r>
    </w:p>
    <w:p>
      <w:pPr>
        <w:pStyle w:val="Heading2"/>
        <w:spacing w:after="160" w:before="320"/>
      </w:pPr>
      <w:r>
        <w:rPr>
          <w:b/>
          <w:bCs/>
          <w:color w:val="1F3864"/>
          <w:sz w:val="24"/>
          <w:szCs w:val="24"/>
        </w:rPr>
        <w:t xml:space="preserve">2.1 Vision Statement</w:t>
      </w:r>
    </w:p>
    <w:p>
      <w:pPr>
        <w:spacing w:after="160" w:line="276"/>
        <w:jc w:val="both"/>
      </w:pPr>
      <w:r>
        <w:rPr>
          <w:sz w:val="21"/>
          <w:szCs w:val="21"/>
        </w:rPr>
        <w:t xml:space="preserve">To build one manufacturing-grade Agentic AI operating layer that can plug into any factory's existing digital stack — regardless of vendor, version or schema — and immediately begin delivering measurable operational, financial and safety outcomes through autonomous, continuously-running AI agents, with a human always able to see, approve, or override what the agents decide.</w:t>
      </w:r>
    </w:p>
    <w:p>
      <w:pPr>
        <w:pStyle w:val="Heading2"/>
        <w:spacing w:after="160" w:before="320"/>
      </w:pPr>
      <w:r>
        <w:rPr>
          <w:b/>
          <w:bCs/>
          <w:color w:val="1F3864"/>
          <w:sz w:val="24"/>
          <w:szCs w:val="24"/>
        </w:rPr>
        <w:t xml:space="preserve">2.2 Core Objectives</w:t>
      </w:r>
    </w:p>
    <w:p>
      <w:pPr>
        <w:pStyle w:val="ListParagraph"/>
        <w:numPr>
          <w:ilvl w:val="0"/>
          <w:numId w:val="1"/>
        </w:numPr>
        <w:spacing w:after="90"/>
      </w:pPr>
      <w:r>
        <w:rPr>
          <w:sz w:val="21"/>
          <w:szCs w:val="21"/>
        </w:rPr>
        <w:t xml:space="preserve">Version-agnostic connectivity — one platform, any MES/SCADA/IoT/ERP version, no per-customer code fork.</w:t>
      </w:r>
    </w:p>
    <w:p>
      <w:pPr>
        <w:pStyle w:val="ListParagraph"/>
        <w:numPr>
          <w:ilvl w:val="0"/>
          <w:numId w:val="1"/>
        </w:numPr>
        <w:spacing w:after="90"/>
      </w:pPr>
      <w:r>
        <w:rPr>
          <w:sz w:val="21"/>
          <w:szCs w:val="21"/>
        </w:rPr>
        <w:t xml:space="preserve">Continuous, autonomous agent pipelines — agents run on a schedule/event basis, not just on-demand chat.</w:t>
      </w:r>
    </w:p>
    <w:p>
      <w:pPr>
        <w:pStyle w:val="ListParagraph"/>
        <w:numPr>
          <w:ilvl w:val="0"/>
          <w:numId w:val="1"/>
        </w:numPr>
        <w:spacing w:after="90"/>
      </w:pPr>
      <w:r>
        <w:rPr>
          <w:sz w:val="21"/>
          <w:szCs w:val="21"/>
        </w:rPr>
        <w:t xml:space="preserve">Progressive activation — a use case only appears/activates in the UI when the connected system actually exposes the data it needs; everything else stays hidden instead of erroring out.</w:t>
      </w:r>
    </w:p>
    <w:p>
      <w:pPr>
        <w:pStyle w:val="ListParagraph"/>
        <w:numPr>
          <w:ilvl w:val="0"/>
          <w:numId w:val="1"/>
        </w:numPr>
        <w:spacing w:after="90"/>
      </w:pPr>
      <w:r>
        <w:rPr>
          <w:sz w:val="21"/>
          <w:szCs w:val="21"/>
        </w:rPr>
        <w:t xml:space="preserve">Human-in-the-loop by design — every agent action that carries operational or financial risk has a configurable approval gate.</w:t>
      </w:r>
    </w:p>
    <w:p>
      <w:pPr>
        <w:pStyle w:val="ListParagraph"/>
        <w:numPr>
          <w:ilvl w:val="0"/>
          <w:numId w:val="1"/>
        </w:numPr>
        <w:spacing w:after="90"/>
      </w:pPr>
      <w:r>
        <w:rPr>
          <w:sz w:val="21"/>
          <w:szCs w:val="21"/>
        </w:rPr>
        <w:t xml:space="preserve">Bring-your-own-LLM economics — customers plug in their own LLM provider API keys (OpenAI, Gemini, Grok, Anthropic, etc.), platform shows live cost/usage, and can run on cheap or premium models per use case.</w:t>
      </w:r>
    </w:p>
    <w:p>
      <w:pPr>
        <w:pStyle w:val="ListParagraph"/>
        <w:numPr>
          <w:ilvl w:val="0"/>
          <w:numId w:val="1"/>
        </w:numPr>
        <w:spacing w:after="90"/>
      </w:pPr>
      <w:r>
        <w:rPr>
          <w:sz w:val="21"/>
          <w:szCs w:val="21"/>
        </w:rPr>
        <w:t xml:space="preserve">Deployable on-prem (local, offline-capable, edge) or in the cloud — customer chooses based on data-sovereignty and connectivity needs.</w:t>
      </w:r>
    </w:p>
    <w:p>
      <w:pPr>
        <w:pStyle w:val="ListParagraph"/>
        <w:numPr>
          <w:ilvl w:val="0"/>
          <w:numId w:val="1"/>
        </w:numPr>
        <w:spacing w:after="90"/>
      </w:pPr>
      <w:r>
        <w:rPr>
          <w:sz w:val="21"/>
          <w:szCs w:val="21"/>
        </w:rPr>
        <w:t xml:space="preserve">Secure by default — encrypted credential storage, RBAC, full audit trail, and OT-aware cybersecurity monitoring.</w:t>
      </w:r>
    </w:p>
    <w:p>
      <w:pPr>
        <w:pStyle w:val="ListParagraph"/>
        <w:numPr>
          <w:ilvl w:val="0"/>
          <w:numId w:val="1"/>
        </w:numPr>
        <w:spacing w:after="90"/>
      </w:pPr>
      <w:r>
        <w:rPr>
          <w:sz w:val="21"/>
          <w:szCs w:val="21"/>
        </w:rPr>
        <w:t xml:space="preserve">Industrial-grade scale — architected to run across 6+ plants, hundreds of machines and thousands of daily transactions without redesign.</w:t>
      </w:r>
    </w:p>
    <w:p>
      <w:r>
        <w:br w:type="page"/>
      </w:r>
    </w:p>
    <w:p>
      <w:pPr>
        <w:pStyle w:val="Heading1"/>
        <w:pBdr>
          <w:bottom w:val="single" w:color="0E7C7B" w:sz="8" w:space="4"/>
        </w:pBdr>
        <w:spacing w:after="240" w:before="480"/>
      </w:pPr>
      <w:r>
        <w:rPr>
          <w:b/>
          <w:bCs/>
          <w:color w:val="1F3864"/>
          <w:sz w:val="30"/>
          <w:szCs w:val="30"/>
        </w:rPr>
        <w:t xml:space="preserve">3. Problem Statement — The Multi-Version, Multi-Vendor Challenge</w:t>
      </w:r>
    </w:p>
    <w:p>
      <w:pPr>
        <w:spacing w:after="160" w:line="276"/>
        <w:jc w:val="both"/>
      </w:pPr>
      <w:r>
        <w:rPr>
          <w:sz w:val="21"/>
          <w:szCs w:val="21"/>
        </w:rPr>
        <w:t xml:space="preserve">Every MES/SCADA/IoT deployment IIIoT has in the field is, from a database point of view, a different product. Table names, column names, required-vs-optional fields, and even entire modules differ between versions and between customer configurations. A conventional integration approach — writing SQL queries or API calls against one customer's exact schema — does not scale past the first customer: it must be rewritten for the second, and again for every future schema change.</w:t>
      </w:r>
    </w:p>
    <w:p>
      <w:pPr>
        <w:spacing w:after="160" w:line="276"/>
        <w:jc w:val="both"/>
      </w:pPr>
      <w:r>
        <w:rPr>
          <w:b/>
          <w:bCs/>
          <w:color w:val="1F3864"/>
          <w:sz w:val="21"/>
          <w:szCs w:val="21"/>
        </w:rPr>
        <w:t xml:space="preserve">Why this matters for an agentic platform specifically: </w:t>
      </w:r>
      <w:r>
        <w:rPr>
          <w:sz w:val="21"/>
          <w:szCs w:val="21"/>
        </w:rPr>
        <w:t xml:space="preserve">An AI agent needs to know, at runtime, "does this customer's MES even have a Machine Downtime concept, and if so what is it called and where does it live?" before it can safely query or act on it. Hard-coding that knowledge per customer is not viable at industrial scale.</w:t>
      </w:r>
    </w:p>
    <w:p>
      <w:pPr>
        <w:pStyle w:val="Heading2"/>
        <w:spacing w:after="160" w:before="320"/>
      </w:pPr>
      <w:r>
        <w:rPr>
          <w:b/>
          <w:bCs/>
          <w:color w:val="1F3864"/>
          <w:sz w:val="24"/>
          <w:szCs w:val="24"/>
        </w:rPr>
        <w:t xml:space="preserve">3.1 Requirements Distilled From Stakeholder Discussion</w:t>
      </w:r>
    </w:p>
    <w:p>
      <w:pPr>
        <w:pStyle w:val="ListParagraph"/>
        <w:numPr>
          <w:ilvl w:val="0"/>
          <w:numId w:val="1"/>
        </w:numPr>
        <w:spacing w:after="90"/>
      </w:pPr>
      <w:r>
        <w:rPr>
          <w:sz w:val="21"/>
          <w:szCs w:val="21"/>
        </w:rPr>
        <w:t xml:space="preserve">The platform must not create version-specific issues — it must work identically regardless of MES/SCADA/IoT version.</w:t>
      </w:r>
    </w:p>
    <w:p>
      <w:pPr>
        <w:pStyle w:val="ListParagraph"/>
        <w:numPr>
          <w:ilvl w:val="0"/>
          <w:numId w:val="1"/>
        </w:numPr>
        <w:spacing w:after="90"/>
      </w:pPr>
      <w:r>
        <w:rPr>
          <w:sz w:val="21"/>
          <w:szCs w:val="21"/>
        </w:rPr>
        <w:t xml:space="preserve">Two integration mechanisms must both be supported: (a) ingesting only the database schema (table + column names, required/optional metadata — never customer data) and (b) integrating directly with the customer's backend/API layer.</w:t>
      </w:r>
    </w:p>
    <w:p>
      <w:pPr>
        <w:pStyle w:val="ListParagraph"/>
        <w:numPr>
          <w:ilvl w:val="0"/>
          <w:numId w:val="1"/>
        </w:numPr>
        <w:spacing w:after="90"/>
      </w:pPr>
      <w:r>
        <w:rPr>
          <w:sz w:val="21"/>
          <w:szCs w:val="21"/>
        </w:rPr>
        <w:t xml:space="preserve">Use cases (agent pipelines) must automatically appear in the UI only when the connected system's available schema/version supports the underlying feature — shown as available rather than hard failing, with the customer choosing to enable or disable each one.</w:t>
      </w:r>
    </w:p>
    <w:p>
      <w:pPr>
        <w:pStyle w:val="ListParagraph"/>
        <w:numPr>
          <w:ilvl w:val="0"/>
          <w:numId w:val="1"/>
        </w:numPr>
        <w:spacing w:after="90"/>
      </w:pPr>
      <w:r>
        <w:rPr>
          <w:sz w:val="21"/>
          <w:szCs w:val="21"/>
        </w:rPr>
        <w:t xml:space="preserve">Human-in-the-loop must be configurable per use case, mirroring the pattern already validated in the internal UI mockup.</w:t>
      </w:r>
    </w:p>
    <w:p>
      <w:pPr>
        <w:pStyle w:val="ListParagraph"/>
        <w:numPr>
          <w:ilvl w:val="0"/>
          <w:numId w:val="1"/>
        </w:numPr>
        <w:spacing w:after="90"/>
      </w:pPr>
      <w:r>
        <w:rPr>
          <w:sz w:val="21"/>
          <w:szCs w:val="21"/>
        </w:rPr>
        <w:t xml:space="preserve">LLM API keys must be stored encrypted, never in plaintext, with automatic fallback/routing when a key is exhausted or rate-limited.</w:t>
      </w:r>
    </w:p>
    <w:p>
      <w:pPr>
        <w:pStyle w:val="ListParagraph"/>
        <w:numPr>
          <w:ilvl w:val="0"/>
          <w:numId w:val="1"/>
        </w:numPr>
        <w:spacing w:after="90"/>
      </w:pPr>
      <w:r>
        <w:rPr>
          <w:sz w:val="21"/>
          <w:szCs w:val="21"/>
        </w:rPr>
        <w:t xml:space="preserve">The system must expose live cost/usage tracking per LLM key so customers understand what their agents are costing them.</w:t>
      </w:r>
    </w:p>
    <w:p>
      <w:pPr>
        <w:pStyle w:val="ListParagraph"/>
        <w:numPr>
          <w:ilvl w:val="0"/>
          <w:numId w:val="1"/>
        </w:numPr>
        <w:spacing w:after="90"/>
      </w:pPr>
      <w:r>
        <w:rPr>
          <w:sz w:val="21"/>
          <w:szCs w:val="21"/>
        </w:rPr>
        <w:t xml:space="preserve">Agent "instructions" (system prompts / reasoning chains) must be visible to developers during development for debugging, and can be hidden in production.</w:t>
      </w:r>
    </w:p>
    <w:p>
      <w:pPr>
        <w:pStyle w:val="ListParagraph"/>
        <w:numPr>
          <w:ilvl w:val="0"/>
          <w:numId w:val="1"/>
        </w:numPr>
        <w:spacing w:after="90"/>
      </w:pPr>
      <w:r>
        <w:rPr>
          <w:sz w:val="21"/>
          <w:szCs w:val="21"/>
        </w:rPr>
        <w:t xml:space="preserve">The platform must support both a locally-hosted, continuously-running deployment and a cloud-hosted, browser-accessible deployment.</w:t>
      </w:r>
    </w:p>
    <w:p>
      <w:pPr>
        <w:pStyle w:val="Heading1"/>
        <w:pBdr>
          <w:bottom w:val="single" w:color="0E7C7B" w:sz="8" w:space="4"/>
        </w:pBdr>
        <w:spacing w:after="240" w:before="480"/>
      </w:pPr>
      <w:r>
        <w:rPr>
          <w:b/>
          <w:bCs/>
          <w:color w:val="1F3864"/>
          <w:sz w:val="30"/>
          <w:szCs w:val="30"/>
        </w:rPr>
        <w:t xml:space="preserve">4. Guiding Design Principles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00"/>
              <w:bottom w:type="dxa" w:w="80"/>
              <w:right w:type="dxa" w:w="100"/>
            </w:tcMar>
            <w:vAlign w:val="center"/>
          </w:tcPr>
          <w:p>
            <w:pPr>
              <w:jc w:val="left"/>
            </w:pPr>
            <w:r>
              <w:rPr>
                <w:b/>
                <w:bCs/>
                <w:color w:val="FFFFFF"/>
                <w:sz w:val="19"/>
                <w:szCs w:val="19"/>
              </w:rPr>
              <w:t xml:space="preserve">Principle</w:t>
            </w:r>
          </w:p>
        </w:tc>
        <w:tc>
          <w:tcPr>
            <w:tcW w:type="dxa" w:w="6300"/>
            <w:shd w:fill="1F3864" w:val="clear"/>
            <w:tcMar>
              <w:top w:type="dxa" w:w="80"/>
              <w:left w:type="dxa" w:w="100"/>
              <w:bottom w:type="dxa" w:w="80"/>
              <w:right w:type="dxa" w:w="100"/>
            </w:tcMar>
            <w:vAlign w:val="center"/>
          </w:tcPr>
          <w:p>
            <w:pPr>
              <w:jc w:val="left"/>
            </w:pPr>
            <w:r>
              <w:rPr>
                <w:b/>
                <w:bCs/>
                <w:color w:val="FFFFFF"/>
                <w:sz w:val="19"/>
                <w:szCs w:val="19"/>
              </w:rPr>
              <w:t xml:space="preserve">What It Means In Practice</w:t>
            </w:r>
          </w:p>
        </w:tc>
      </w:tr>
      <w:tr>
        <w:tc>
          <w:tcPr>
            <w:tcW w:type="dxa" w:w="32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Schema-first, not code-first</w:t>
            </w:r>
          </w:p>
        </w:tc>
        <w:tc>
          <w:tcPr>
            <w:tcW w:type="dxa" w:w="63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Every integration starts by registering a schema/API contract, not by writing bespoke queries.</w:t>
            </w:r>
          </w:p>
        </w:tc>
      </w:tr>
      <w:tr>
        <w:tc>
          <w:tcPr>
            <w:tcW w:type="dxa" w:w="3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Capability-driven UI</w:t>
            </w:r>
          </w:p>
        </w:tc>
        <w:tc>
          <w:tcPr>
            <w:tcW w:type="dxa" w:w="6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The UI reflects what the connected system can actually do; unsupported use cases are hidden, not broken.</w:t>
            </w:r>
          </w:p>
        </w:tc>
      </w:tr>
      <w:tr>
        <w:tc>
          <w:tcPr>
            <w:tcW w:type="dxa" w:w="32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Adapters over rewrites</w:t>
            </w:r>
          </w:p>
        </w:tc>
        <w:tc>
          <w:tcPr>
            <w:tcW w:type="dxa" w:w="63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New MES/SCADA versions are onboarded by writing a thin adapter/mapping config, never by touching agent logic.</w:t>
            </w:r>
          </w:p>
        </w:tc>
      </w:tr>
      <w:tr>
        <w:tc>
          <w:tcPr>
            <w:tcW w:type="dxa" w:w="3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Agents are stateless workers, state lives in the platform DB</w:t>
            </w:r>
          </w:p>
        </w:tc>
        <w:tc>
          <w:tcPr>
            <w:tcW w:type="dxa" w:w="6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Agents read from and write to IIIoT's own database; they never become the system of record for customer operational data.</w:t>
            </w:r>
          </w:p>
        </w:tc>
      </w:tr>
      <w:tr>
        <w:tc>
          <w:tcPr>
            <w:tcW w:type="dxa" w:w="32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Everything gated, nothing silent</w:t>
            </w:r>
          </w:p>
        </w:tc>
        <w:tc>
          <w:tcPr>
            <w:tcW w:type="dxa" w:w="63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Any agent action with real-world consequence passes through a configurable human-approval gate.</w:t>
            </w:r>
          </w:p>
        </w:tc>
      </w:tr>
      <w:tr>
        <w:tc>
          <w:tcPr>
            <w:tcW w:type="dxa" w:w="3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Security is structural, not an add-on</w:t>
            </w:r>
          </w:p>
        </w:tc>
        <w:tc>
          <w:tcPr>
            <w:tcW w:type="dxa" w:w="6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Encryption, RBAC and audit logging are part of the core data model from day one, not retrofitted.</w:t>
            </w:r>
          </w:p>
        </w:tc>
      </w:tr>
      <w:tr>
        <w:tc>
          <w:tcPr>
            <w:tcW w:type="dxa" w:w="32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Cost visibility is a feature</w:t>
            </w:r>
          </w:p>
        </w:tc>
        <w:tc>
          <w:tcPr>
            <w:tcW w:type="dxa" w:w="63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Token/API cost is tracked and shown to the customer as a first-class metric, same as OEE or uptime.</w:t>
            </w:r>
          </w:p>
        </w:tc>
      </w:tr>
    </w:tbl>
    <w:p>
      <w:r>
        <w:br w:type="page"/>
      </w:r>
    </w:p>
    <w:p>
      <w:pPr>
        <w:pStyle w:val="Heading1"/>
        <w:pBdr>
          <w:bottom w:val="single" w:color="0E7C7B" w:sz="8" w:space="4"/>
        </w:pBdr>
        <w:spacing w:after="240" w:before="480"/>
      </w:pPr>
      <w:r>
        <w:rPr>
          <w:b/>
          <w:bCs/>
          <w:color w:val="1F3864"/>
          <w:sz w:val="30"/>
          <w:szCs w:val="30"/>
        </w:rPr>
        <w:t xml:space="preserve">5. System Architecture Overview</w:t>
      </w:r>
    </w:p>
    <w:p>
      <w:pPr>
        <w:spacing w:after="160" w:line="276"/>
        <w:jc w:val="both"/>
      </w:pPr>
      <w:r>
        <w:rPr>
          <w:sz w:val="21"/>
          <w:szCs w:val="21"/>
        </w:rPr>
        <w:t xml:space="preserve">The platform is organized into five logical layers. Each layer has a single responsibility, which is what makes the version-agnostic goal achievable — the layer that talks to a customer's MES is completely decoupled from the layer that runs agent reasoning.</w:t>
      </w:r>
    </w:p>
    <w:p>
      <w:pPr>
        <w:pStyle w:val="Heading2"/>
        <w:spacing w:after="160" w:before="320"/>
      </w:pPr>
      <w:r>
        <w:rPr>
          <w:b/>
          <w:bCs/>
          <w:color w:val="1F3864"/>
          <w:sz w:val="24"/>
          <w:szCs w:val="24"/>
        </w:rPr>
        <w:t xml:space="preserve">5.1 Layered Architecture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90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Layer</w:t>
            </w:r>
          </w:p>
        </w:tc>
        <w:tc>
          <w:tcPr>
            <w:tcW w:type="dxa" w:w="4200"/>
            <w:shd w:fill="1F3864" w:val="clear"/>
            <w:tcMar>
              <w:top w:type="dxa" w:w="80"/>
              <w:left w:type="dxa" w:w="100"/>
              <w:bottom w:type="dxa" w:w="80"/>
              <w:right w:type="dxa" w:w="100"/>
            </w:tcMar>
            <w:vAlign w:val="center"/>
          </w:tcPr>
          <w:p>
            <w:pPr>
              <w:jc w:val="left"/>
            </w:pPr>
            <w:r>
              <w:rPr>
                <w:b/>
                <w:bCs/>
                <w:color w:val="FFFFFF"/>
                <w:sz w:val="19"/>
                <w:szCs w:val="19"/>
              </w:rPr>
              <w:t xml:space="preserve">Responsibility</w:t>
            </w:r>
          </w:p>
        </w:tc>
        <w:tc>
          <w:tcPr>
            <w:tcW w:type="dxa" w:w="2900"/>
            <w:shd w:fill="1F3864" w:val="clear"/>
            <w:tcMar>
              <w:top w:type="dxa" w:w="80"/>
              <w:left w:type="dxa" w:w="100"/>
              <w:bottom w:type="dxa" w:w="80"/>
              <w:right w:type="dxa" w:w="100"/>
            </w:tcMar>
            <w:vAlign w:val="center"/>
          </w:tcPr>
          <w:p>
            <w:pPr>
              <w:jc w:val="left"/>
            </w:pPr>
            <w:r>
              <w:rPr>
                <w:b/>
                <w:bCs/>
                <w:color w:val="FFFFFF"/>
                <w:sz w:val="19"/>
                <w:szCs w:val="19"/>
              </w:rPr>
              <w:t xml:space="preserve">Key Components</w:t>
            </w:r>
          </w:p>
        </w:tc>
      </w:tr>
      <w:tr>
        <w:tc>
          <w:tcPr>
            <w:tcW w:type="dxa" w:w="24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1. Connectivity Layer</w:t>
            </w:r>
          </w:p>
        </w:tc>
        <w:tc>
          <w:tcPr>
            <w:tcW w:type="dxa" w:w="42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Talks to customer systems (MES/SCADA/IoT/ERP/CCTV) via DB link, REST/SOAP API, OPC-UA/MQTT for IoT, or schema-only ingestion.</w:t>
            </w:r>
          </w:p>
        </w:tc>
        <w:tc>
          <w:tcPr>
            <w:tcW w:type="dxa" w:w="29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Connection Manager, Credential Vault, Protocol Adapters</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2. Schema &amp; Capability Layer</w:t>
            </w:r>
          </w:p>
        </w:tc>
        <w:tc>
          <w:tcPr>
            <w:tcW w:type="dxa" w:w="4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Normalizes whatever schema/API surface it finds into IIIoT's internal Canonical Data Model; produces a live Capability Matrix.</w:t>
            </w:r>
          </w:p>
        </w:tc>
        <w:tc>
          <w:tcPr>
            <w:tcW w:type="dxa" w:w="2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Schema Registry, Version Adapter Engine, Capability Resolver</w:t>
            </w:r>
          </w:p>
        </w:tc>
      </w:tr>
      <w:tr>
        <w:tc>
          <w:tcPr>
            <w:tcW w:type="dxa" w:w="24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3. Data Intelligence Layer</w:t>
            </w:r>
          </w:p>
        </w:tc>
        <w:tc>
          <w:tcPr>
            <w:tcW w:type="dxa" w:w="42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Materializes only what agents need (not a full data copy) — cached views, streaming events, embeddings for semantic search.</w:t>
            </w:r>
          </w:p>
        </w:tc>
        <w:tc>
          <w:tcPr>
            <w:tcW w:type="dxa" w:w="29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ETL/CDC Pipelines, Vector Store, Time-Series Store</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4. Agentic AI Layer</w:t>
            </w:r>
          </w:p>
        </w:tc>
        <w:tc>
          <w:tcPr>
            <w:tcW w:type="dxa" w:w="4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Runs the actual agent pipelines — planning, tool calls, reasoning, guardrails, human-approval gates.</w:t>
            </w:r>
          </w:p>
        </w:tc>
        <w:tc>
          <w:tcPr>
            <w:tcW w:type="dxa" w:w="2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LangGraph Orchestrator, Agent Registry, Guardrails, LLM Gateway</w:t>
            </w:r>
          </w:p>
        </w:tc>
      </w:tr>
      <w:tr>
        <w:tc>
          <w:tcPr>
            <w:tcW w:type="dxa" w:w="24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5. Experience Layer</w:t>
            </w:r>
          </w:p>
        </w:tc>
        <w:tc>
          <w:tcPr>
            <w:tcW w:type="dxa" w:w="42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Portal UI, Use-Case Library, Command Centre dashboards, admin console, notifications.</w:t>
            </w:r>
          </w:p>
        </w:tc>
        <w:tc>
          <w:tcPr>
            <w:tcW w:type="dxa" w:w="29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Web Portal (per-portal views: ERP/MES/SCADA/IoT/CCTV), Admin Console</w:t>
            </w:r>
          </w:p>
        </w:tc>
      </w:tr>
    </w:tbl>
    <w:p>
      <w:pPr>
        <w:spacing w:after="120"/>
      </w:pPr>
    </w:p>
    <w:p>
      <w:pPr>
        <w:pStyle w:val="Heading2"/>
        <w:spacing w:after="160" w:before="320"/>
      </w:pPr>
      <w:r>
        <w:rPr>
          <w:b/>
          <w:bCs/>
          <w:color w:val="1F3864"/>
          <w:sz w:val="24"/>
          <w:szCs w:val="24"/>
        </w:rPr>
        <w:t xml:space="preserve">5.2 Platform Vision Diagram (Internal Reference Mock-up)</w:t>
      </w:r>
    </w:p>
    <w:p>
      <w:pPr>
        <w:spacing w:after="160" w:line="276"/>
        <w:jc w:val="both"/>
      </w:pPr>
      <w:r>
        <w:rPr>
          <w:sz w:val="21"/>
          <w:szCs w:val="21"/>
        </w:rPr>
        <w:t xml:space="preserve">The diagram below is the internal vision asset shared by the team. It is a demonstration of the intended UI/UX and information architecture — not the final design — but its structure directly informs the sections that follow: portal-based connectivity, an automatically-populated agent list gated by MES version/feature availability, a Command Centre with role-based views, a use-case library organized by strategic pillar, and an explicit map of which databases the platform may access before vs. after an MES connection is established.</w:t>
      </w:r>
    </w:p>
    <w:p>
      <w:pPr>
        <w:spacing w:after="120" w:before="120"/>
        <w:jc w:val="center"/>
      </w:pPr>
      <w:r>
        <w:drawing>
          <wp:inline distT="0" distB="0" distL="0" distR="0">
            <wp:extent cx="59055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43275"/>
                    </a:xfrm>
                    <a:prstGeom prst="rect">
                      <a:avLst/>
                    </a:prstGeom>
                  </pic:spPr>
                </pic:pic>
              </a:graphicData>
            </a:graphic>
          </wp:inline>
        </w:drawing>
      </w:r>
    </w:p>
    <w:p>
      <w:pPr>
        <w:spacing w:after="160" w:line="276"/>
        <w:jc w:val="both"/>
      </w:pPr>
      <w:r>
        <w:rPr>
          <w:i/>
          <w:iCs/>
          <w:color w:val="595959"/>
          <w:sz w:val="21"/>
          <w:szCs w:val="21"/>
        </w:rPr>
        <w:t xml:space="preserve">Reference notes visible in the mock-up that this blueprint formalizes:</w:t>
      </w:r>
    </w:p>
    <w:p>
      <w:pPr>
        <w:pStyle w:val="ListParagraph"/>
        <w:numPr>
          <w:ilvl w:val="0"/>
          <w:numId w:val="1"/>
        </w:numPr>
        <w:spacing w:after="90"/>
      </w:pPr>
      <w:r>
        <w:rPr>
          <w:sz w:val="21"/>
          <w:szCs w:val="21"/>
        </w:rPr>
        <w:t xml:space="preserve">Login → "Connect your App (MES/IoT/etc.)" → system automatically gathers schema data → agent list is auto-populated based on features available in that MES version, but every agent is disabled by default until the customer opts in.</w:t>
      </w:r>
    </w:p>
    <w:p>
      <w:pPr>
        <w:pStyle w:val="ListParagraph"/>
        <w:numPr>
          <w:ilvl w:val="0"/>
          <w:numId w:val="1"/>
        </w:numPr>
        <w:spacing w:after="90"/>
      </w:pPr>
      <w:r>
        <w:rPr>
          <w:sz w:val="21"/>
          <w:szCs w:val="21"/>
        </w:rPr>
        <w:t xml:space="preserve">An explicit "Accessible Database" boundary: before an MES connection exists, Manufacturing-Agentic-AI's own DB is isolated; after connection, a scoped, read-mostly window into specific MES/IoT tables is opened — never blanket access.</w:t>
      </w:r>
    </w:p>
    <w:p>
      <w:pPr>
        <w:pStyle w:val="ListParagraph"/>
        <w:numPr>
          <w:ilvl w:val="0"/>
          <w:numId w:val="1"/>
        </w:numPr>
        <w:spacing w:after="90"/>
      </w:pPr>
      <w:r>
        <w:rPr>
          <w:sz w:val="21"/>
          <w:szCs w:val="21"/>
        </w:rPr>
        <w:t xml:space="preserve">Use-Case Library grouped into five strategic pillars: Operational Excellence, Smart Growth &amp; Expansion, Sustainable Operations, Financial Resilience, and Horizontal Enterprise — detailed in Section 8.2.</w:t>
      </w:r>
    </w:p>
    <w:p>
      <w:r>
        <w:br w:type="page"/>
      </w:r>
    </w:p>
    <w:p>
      <w:pPr>
        <w:pStyle w:val="Heading1"/>
        <w:pBdr>
          <w:bottom w:val="single" w:color="0E7C7B" w:sz="8" w:space="4"/>
        </w:pBdr>
        <w:spacing w:after="240" w:before="480"/>
      </w:pPr>
      <w:r>
        <w:rPr>
          <w:b/>
          <w:bCs/>
          <w:color w:val="1F3864"/>
          <w:sz w:val="30"/>
          <w:szCs w:val="30"/>
        </w:rPr>
        <w:t xml:space="preserve">6. Universal Integration Strategy</w:t>
      </w:r>
    </w:p>
    <w:p>
      <w:pPr>
        <w:spacing w:after="160" w:line="276"/>
        <w:jc w:val="both"/>
      </w:pPr>
      <w:r>
        <w:rPr>
          <w:sz w:val="21"/>
          <w:szCs w:val="21"/>
        </w:rPr>
        <w:t xml:space="preserve">Three integration approaches were evaluated. All three are implemented, because different customers and different modules will genuinely need different approaches — the platform picks per-connection, per-module, not once globally.</w:t>
      </w:r>
    </w:p>
    <w:p>
      <w:pPr>
        <w:pStyle w:val="Heading2"/>
        <w:spacing w:after="160" w:before="320"/>
      </w:pPr>
      <w:r>
        <w:rPr>
          <w:b/>
          <w:bCs/>
          <w:color w:val="1F3864"/>
          <w:sz w:val="24"/>
          <w:szCs w:val="24"/>
        </w:rPr>
        <w:t xml:space="preserve">6.1 Approach A — Schema Registry (Metadata-Only Ingestion)</w:t>
      </w:r>
    </w:p>
    <w:p>
      <w:pPr>
        <w:spacing w:after="160" w:line="276"/>
        <w:jc w:val="both"/>
      </w:pPr>
      <w:r>
        <w:rPr>
          <w:sz w:val="21"/>
          <w:szCs w:val="21"/>
        </w:rPr>
        <w:t xml:space="preserve">The customer's DBA/IT team runs a lightweight, read-only schema-introspection script (or IIIoT provides a JDBC/ODBC-based crawler) that extracts table names, column names, data types, nullability/required flags, primary/foreign keys, and index metadata — never row data. This metadata is stored in IIIoT's own Schema Registry as structured JSON, versioned per customer and per connection.</w:t>
      </w:r>
    </w:p>
    <w:p>
      <w:pPr>
        <w:pStyle w:val="ListParagraph"/>
        <w:numPr>
          <w:ilvl w:val="0"/>
          <w:numId w:val="1"/>
        </w:numPr>
        <w:spacing w:after="90"/>
      </w:pPr>
      <w:r>
        <w:rPr>
          <w:sz w:val="21"/>
          <w:szCs w:val="21"/>
        </w:rPr>
        <w:t xml:space="preserve">Best for: customers unwilling or unable to expose backend APIs; fastest onboarding path; used to auto-populate the Capability Matrix (Section 6.4).</w:t>
      </w:r>
    </w:p>
    <w:p>
      <w:pPr>
        <w:pStyle w:val="ListParagraph"/>
        <w:numPr>
          <w:ilvl w:val="0"/>
          <w:numId w:val="1"/>
        </w:numPr>
        <w:spacing w:after="90"/>
      </w:pPr>
      <w:r>
        <w:rPr>
          <w:sz w:val="21"/>
          <w:szCs w:val="21"/>
        </w:rPr>
        <w:t xml:space="preserve">Limitation: metadata alone does not let agents fetch live data — it must be paired with either Approach B or a database read connection scoped to specific tables.</w:t>
      </w:r>
    </w:p>
    <w:p>
      <w:pPr>
        <w:pStyle w:val="Heading3"/>
        <w:spacing w:after="120" w:before="220"/>
      </w:pPr>
      <w:r>
        <w:rPr>
          <w:b/>
          <w:bCs/>
          <w:color w:val="0E7C7B"/>
          <w:sz w:val="21"/>
          <w:szCs w:val="21"/>
        </w:rPr>
        <w:t xml:space="preserve">How schema ingestion feeds the platform</w:t>
      </w:r>
    </w:p>
    <w:p>
      <w:pPr>
        <w:spacing w:after="160" w:line="276"/>
        <w:jc w:val="both"/>
      </w:pPr>
      <w:r>
        <w:rPr>
          <w:sz w:val="21"/>
          <w:szCs w:val="21"/>
        </w:rPr>
        <w:t xml:space="preserve">Once a schema is registered, an LLM-assisted mapping step ("Schema Interpreter" agent) proposes a mapping from the customer's raw table/column names to IIIoT's Canonical Data Model (e.g. mapping a customer's [WorkOrder]/[WOStatus] pair to the canonical work_order.status field). A human developer/admin reviews and confirms this mapping once per customer connection; after confirmation it is cached and reused for every subsequent agent run.</w:t>
      </w:r>
    </w:p>
    <w:p>
      <w:pPr>
        <w:pStyle w:val="Heading2"/>
        <w:spacing w:after="160" w:before="320"/>
      </w:pPr>
      <w:r>
        <w:rPr>
          <w:b/>
          <w:bCs/>
          <w:color w:val="1F3864"/>
          <w:sz w:val="24"/>
          <w:szCs w:val="24"/>
        </w:rPr>
        <w:t xml:space="preserve">6.2 Approach B — Direct Backend/API Integration</w:t>
      </w:r>
    </w:p>
    <w:p>
      <w:pPr>
        <w:spacing w:after="160" w:line="276"/>
        <w:jc w:val="both"/>
      </w:pPr>
      <w:r>
        <w:rPr>
          <w:sz w:val="21"/>
          <w:szCs w:val="21"/>
        </w:rPr>
        <w:t xml:space="preserve">For customers who can expose their MES/SCADA backend (REST/SOAP/OData APIs, or a message bus), IIIoT's Connection Manager registers those endpoints and calls them directly through a per-vendor Protocol Adapter. This is the preferred path where available because it respects the customer's own business logic/validation layer instead of bypassing it with raw SQL.</w:t>
      </w:r>
    </w:p>
    <w:p>
      <w:pPr>
        <w:pStyle w:val="ListParagraph"/>
        <w:numPr>
          <w:ilvl w:val="0"/>
          <w:numId w:val="1"/>
        </w:numPr>
        <w:spacing w:after="90"/>
      </w:pPr>
      <w:r>
        <w:rPr>
          <w:sz w:val="21"/>
          <w:szCs w:val="21"/>
        </w:rPr>
        <w:t xml:space="preserve">Middleware pattern: the customer's MES/SCADA exposes (or is given) a middleware URL that IIIoT's backend calls; IIIoT in turn exposes a callback URL the customer's system can push events to (webhooks for machine-down alerts, work-order completion, etc.).</w:t>
      </w:r>
    </w:p>
    <w:p>
      <w:pPr>
        <w:pStyle w:val="ListParagraph"/>
        <w:numPr>
          <w:ilvl w:val="0"/>
          <w:numId w:val="1"/>
        </w:numPr>
        <w:spacing w:after="90"/>
      </w:pPr>
      <w:r>
        <w:rPr>
          <w:sz w:val="21"/>
          <w:szCs w:val="21"/>
        </w:rPr>
        <w:t xml:space="preserve">This also supports write-back actions (e.g. an agent creating a maintenance ticket) in systems that expose write APIs, subject to the human-approval gates in Section 8.4.</w:t>
      </w:r>
    </w:p>
    <w:p>
      <w:pPr>
        <w:pStyle w:val="Heading2"/>
        <w:spacing w:after="160" w:before="320"/>
      </w:pPr>
      <w:r>
        <w:rPr>
          <w:b/>
          <w:bCs/>
          <w:color w:val="1F3864"/>
          <w:sz w:val="24"/>
          <w:szCs w:val="24"/>
        </w:rPr>
        <w:t xml:space="preserve">6.3 Approach C — Scoped Database Access (Hybrid, Recommended Default)</w:t>
      </w:r>
    </w:p>
    <w:p>
      <w:pPr>
        <w:spacing w:after="160" w:line="276"/>
        <w:jc w:val="both"/>
      </w:pPr>
      <w:r>
        <w:rPr>
          <w:sz w:val="21"/>
          <w:szCs w:val="21"/>
        </w:rPr>
        <w:t xml:space="preserve">Where APIs are not available but the customer permits it, IIIoT is granted a read-only (and narrowly scoped write, only where explicitly required) database credential limited to a specific, agreed set of tables/views — never full DB access. This is the pattern shown in the vision diagram's "Accessible Database" panel: a defined boundary of which MES/IoT tables the Manufacturing Agentic AI is allowed to touch, agreed and documented per customer.</w:t>
      </w:r>
    </w:p>
    <w:p>
      <w:pPr>
        <w:spacing w:after="160" w:line="276"/>
        <w:jc w:val="both"/>
      </w:pPr>
      <w:r>
        <w:rPr>
          <w:b/>
          <w:bCs/>
          <w:color w:val="1F3864"/>
          <w:sz w:val="21"/>
          <w:szCs w:val="21"/>
        </w:rPr>
        <w:t xml:space="preserve">Recommendation: </w:t>
      </w:r>
      <w:r>
        <w:rPr>
          <w:sz w:val="21"/>
          <w:szCs w:val="21"/>
        </w:rPr>
        <w:t xml:space="preserve">use Approach C (scoped DB access) as the default fallback, Approach B wherever the customer can expose APIs (preferred for write-actions and for respecting business rules), and Approach A (schema-only) as the fast, always-available first step for every connection — it is what powers the Capability Matrix regardless of which of B/C is used underneath.</w:t>
      </w:r>
    </w:p>
    <w:p>
      <w:pPr>
        <w:pStyle w:val="Heading2"/>
        <w:spacing w:after="160" w:before="320"/>
      </w:pPr>
      <w:r>
        <w:rPr>
          <w:b/>
          <w:bCs/>
          <w:color w:val="1F3864"/>
          <w:sz w:val="24"/>
          <w:szCs w:val="24"/>
        </w:rPr>
        <w:t xml:space="preserve">6.4 Version &amp; Schema Adaptation — the Capability Matrix</w:t>
      </w:r>
    </w:p>
    <w:p>
      <w:pPr>
        <w:spacing w:after="160" w:line="276"/>
        <w:jc w:val="both"/>
      </w:pPr>
      <w:r>
        <w:rPr>
          <w:sz w:val="21"/>
          <w:szCs w:val="21"/>
        </w:rPr>
        <w:t xml:space="preserve">This is the mechanism that makes the platform genuinely version-agnostic. Every agent declares, in a manifest, the canonical data fields it needs (not raw table/column names). At connection time, the platform resolves whether the customer's mapped schema satisfies that manifest.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rPr>
          <w:tblHeader/>
        </w:trPr>
        <w:tc>
          <w:tcPr>
            <w:tcW w:type="dxa" w:w="1800"/>
            <w:shd w:fill="1F3864" w:val="clear"/>
            <w:tcMar>
              <w:top w:type="dxa" w:w="80"/>
              <w:left w:type="dxa" w:w="100"/>
              <w:bottom w:type="dxa" w:w="80"/>
              <w:right w:type="dxa" w:w="100"/>
            </w:tcMar>
            <w:vAlign w:val="center"/>
          </w:tcPr>
          <w:p>
            <w:pPr>
              <w:jc w:val="left"/>
            </w:pPr>
            <w:r>
              <w:rPr>
                <w:b/>
                <w:bCs/>
                <w:color w:val="FFFFFF"/>
                <w:sz w:val="19"/>
                <w:szCs w:val="19"/>
              </w:rPr>
              <w:t xml:space="preserve">Step</w:t>
            </w:r>
          </w:p>
        </w:tc>
        <w:tc>
          <w:tcPr>
            <w:tcW w:type="dxa" w:w="7700"/>
            <w:shd w:fill="1F3864" w:val="clear"/>
            <w:tcMar>
              <w:top w:type="dxa" w:w="80"/>
              <w:left w:type="dxa" w:w="100"/>
              <w:bottom w:type="dxa" w:w="80"/>
              <w:right w:type="dxa" w:w="100"/>
            </w:tcMar>
            <w:vAlign w:val="center"/>
          </w:tcPr>
          <w:p>
            <w:pPr>
              <w:jc w:val="left"/>
            </w:pPr>
            <w:r>
              <w:rPr>
                <w:b/>
                <w:bCs/>
                <w:color w:val="FFFFFF"/>
                <w:sz w:val="19"/>
                <w:szCs w:val="19"/>
              </w:rPr>
              <w:t xml:space="preserve">What Happens</w:t>
            </w:r>
          </w:p>
        </w:tc>
      </w:tr>
      <w:tr>
        <w:tc>
          <w:tcPr>
            <w:tcW w:type="dxa" w:w="18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1. Ingest</w:t>
            </w:r>
          </w:p>
        </w:tc>
        <w:tc>
          <w:tcPr>
            <w:tcW w:type="dxa" w:w="77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Schema Registry pulls table/column metadata (Approach A) for the newly connected system.</w:t>
            </w:r>
          </w:p>
        </w:tc>
      </w:tr>
      <w:tr>
        <w:tc>
          <w:tcPr>
            <w:tcW w:type="dxa" w:w="1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2. Map</w:t>
            </w:r>
          </w:p>
        </w:tc>
        <w:tc>
          <w:tcPr>
            <w:tcW w:type="dxa" w:w="77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Schema Interpreter proposes a mapping to the Canonical Data Model; admin confirms once.</w:t>
            </w:r>
          </w:p>
        </w:tc>
      </w:tr>
      <w:tr>
        <w:tc>
          <w:tcPr>
            <w:tcW w:type="dxa" w:w="18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3. Resolve</w:t>
            </w:r>
          </w:p>
        </w:tc>
        <w:tc>
          <w:tcPr>
            <w:tcW w:type="dxa" w:w="77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For every registered agent, the Capability Resolver checks: are all canonical fields this agent needs present in the confirmed mapping?</w:t>
            </w:r>
          </w:p>
        </w:tc>
      </w:tr>
      <w:tr>
        <w:tc>
          <w:tcPr>
            <w:tcW w:type="dxa" w:w="1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4. Publish</w:t>
            </w:r>
          </w:p>
        </w:tc>
        <w:tc>
          <w:tcPr>
            <w:tcW w:type="dxa" w:w="77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Agents that resolve fully appear in the Use-Case Library as "Available — Enable to activate"; agents missing required fields stay hidden (not shown as broken).</w:t>
            </w:r>
          </w:p>
        </w:tc>
      </w:tr>
      <w:tr>
        <w:tc>
          <w:tcPr>
            <w:tcW w:type="dxa" w:w="18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5. Re-resolve on change</w:t>
            </w:r>
          </w:p>
        </w:tc>
        <w:tc>
          <w:tcPr>
            <w:tcW w:type="dxa" w:w="77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If the customer upgrades their MES (schema changes), the mapping is re-run automatically; agents whose fields disappeared are auto-disabled with a notification, not left silently broken.</w:t>
            </w:r>
          </w:p>
        </w:tc>
      </w:tr>
    </w:tbl>
    <w:p>
      <w:pPr>
        <w:spacing w:after="160" w:line="276"/>
        <w:jc w:val="both"/>
      </w:pPr>
      <w:r>
        <w:rPr>
          <w:sz w:val="21"/>
          <w:szCs w:val="21"/>
        </w:rPr>
        <w:t xml:space="preserve">This design directly satisfies the requirement that "chahe koi sa bhi version ho, MES ka, SCADA ka, IoT ka, uske basis pe portal issue create na kare" — the portal never queries a table name directly; it always queries the Canonical Data Model, and the mapping layer is the only place that knows about a specific customer's actual schema.</w:t>
      </w:r>
    </w:p>
    <w:p>
      <w:r>
        <w:br w:type="page"/>
      </w:r>
    </w:p>
    <w:p>
      <w:pPr>
        <w:pStyle w:val="Heading1"/>
        <w:pBdr>
          <w:bottom w:val="single" w:color="0E7C7B" w:sz="8" w:space="4"/>
        </w:pBdr>
        <w:spacing w:after="240" w:before="480"/>
      </w:pPr>
      <w:r>
        <w:rPr>
          <w:b/>
          <w:bCs/>
          <w:color w:val="1F3864"/>
          <w:sz w:val="30"/>
          <w:szCs w:val="30"/>
        </w:rPr>
        <w:t xml:space="preserve">7. Reference Domain Model — MES Schema Analysis</w:t>
      </w:r>
    </w:p>
    <w:p>
      <w:pPr>
        <w:spacing w:after="160" w:line="276"/>
        <w:jc w:val="both"/>
      </w:pPr>
      <w:r>
        <w:rPr>
          <w:sz w:val="21"/>
          <w:szCs w:val="21"/>
        </w:rPr>
        <w:t xml:space="preserve">An actual MES schema (SQL Server, ~108 tables) was supplied as a reference asset. It was analyzed to (a) validate that the Canonical Data Model covers real-world manufacturing concepts, and (b) discover that this particular MES already has native workflow/agent-adjacent tables — WorkflowAgentsTemplate, WorkStepAgents, WorkflowStepsTemplate, WorkflowHistory, WorkStepActions — which is strong evidence that a schema-driven, workflow-aware integration approach fits how modern MES products are actually built, not just IIIoT's own product.</w:t>
      </w:r>
    </w:p>
    <w:p>
      <w:pPr>
        <w:pStyle w:val="Heading2"/>
        <w:spacing w:after="160" w:before="320"/>
      </w:pPr>
      <w:r>
        <w:rPr>
          <w:b/>
          <w:bCs/>
          <w:color w:val="1F3864"/>
          <w:sz w:val="24"/>
          <w:szCs w:val="24"/>
        </w:rPr>
        <w:t xml:space="preserve">7.1 Domain Groupings Found in the Reference Schema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4700"/>
        <w:gridCol w:w="2300"/>
      </w:tblGrid>
      <w:tr>
        <w:trPr>
          <w:tblHeader/>
        </w:trPr>
        <w:tc>
          <w:tcPr>
            <w:tcW w:type="dxa" w:w="2500"/>
            <w:shd w:fill="1F3864" w:val="clear"/>
            <w:tcMar>
              <w:top w:type="dxa" w:w="80"/>
              <w:left w:type="dxa" w:w="100"/>
              <w:bottom w:type="dxa" w:w="80"/>
              <w:right w:type="dxa" w:w="100"/>
            </w:tcMar>
            <w:vAlign w:val="center"/>
          </w:tcPr>
          <w:p>
            <w:pPr>
              <w:jc w:val="left"/>
            </w:pPr>
            <w:r>
              <w:rPr>
                <w:b/>
                <w:bCs/>
                <w:color w:val="FFFFFF"/>
                <w:sz w:val="19"/>
                <w:szCs w:val="19"/>
              </w:rPr>
              <w:t xml:space="preserve">Domain Group</w:t>
            </w:r>
          </w:p>
        </w:tc>
        <w:tc>
          <w:tcPr>
            <w:tcW w:type="dxa" w:w="4700"/>
            <w:shd w:fill="1F3864" w:val="clear"/>
            <w:tcMar>
              <w:top w:type="dxa" w:w="80"/>
              <w:left w:type="dxa" w:w="100"/>
              <w:bottom w:type="dxa" w:w="80"/>
              <w:right w:type="dxa" w:w="100"/>
            </w:tcMar>
            <w:vAlign w:val="center"/>
          </w:tcPr>
          <w:p>
            <w:pPr>
              <w:jc w:val="left"/>
            </w:pPr>
            <w:r>
              <w:rPr>
                <w:b/>
                <w:bCs/>
                <w:color w:val="FFFFFF"/>
                <w:sz w:val="19"/>
                <w:szCs w:val="19"/>
              </w:rPr>
              <w:t xml:space="preserve">Representative Tables</w:t>
            </w:r>
          </w:p>
        </w:tc>
        <w:tc>
          <w:tcPr>
            <w:tcW w:type="dxa" w:w="2300"/>
            <w:shd w:fill="1F3864" w:val="clear"/>
            <w:tcMar>
              <w:top w:type="dxa" w:w="80"/>
              <w:left w:type="dxa" w:w="100"/>
              <w:bottom w:type="dxa" w:w="80"/>
              <w:right w:type="dxa" w:w="100"/>
            </w:tcMar>
            <w:vAlign w:val="center"/>
          </w:tcPr>
          <w:p>
            <w:pPr>
              <w:jc w:val="left"/>
            </w:pPr>
            <w:r>
              <w:rPr>
                <w:b/>
                <w:bCs/>
                <w:color w:val="FFFFFF"/>
                <w:sz w:val="19"/>
                <w:szCs w:val="19"/>
              </w:rPr>
              <w:t xml:space="preserve">Canonical Mapping Target</w:t>
            </w:r>
          </w:p>
        </w:tc>
      </w:tr>
      <w:tr>
        <w:tc>
          <w:tcPr>
            <w:tcW w:type="dxa" w:w="25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Production Planning &amp; Scheduling</w:t>
            </w:r>
          </w:p>
        </w:tc>
        <w:tc>
          <w:tcPr>
            <w:tcW w:type="dxa" w:w="47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ProductionPlanning, GanttSchedule, MPSHeader, MPSRawMaterialRequirement, MRP_Run/Demand/Result, RoutingMaster, RoutingStep, RoutingTemplate, WeeklyPlanning, TentativeRMPlan</w:t>
            </w:r>
          </w:p>
        </w:tc>
        <w:tc>
          <w:tcPr>
            <w:tcW w:type="dxa" w:w="23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production_plan.*, routing.*</w:t>
            </w:r>
          </w:p>
        </w:tc>
      </w:tr>
      <w:tr>
        <w:tc>
          <w:tcPr>
            <w:tcW w:type="dxa" w:w="25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Work Order Execution</w:t>
            </w:r>
          </w:p>
        </w:tc>
        <w:tc>
          <w:tcPr>
            <w:tcW w:type="dxa" w:w="47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WorkOrder, WorkOrderBOM, WorkOrderStep, WorkOrderResource, WorkOrderLog, WorkOrderChangeLog, Worksteps, WorkStepActions</w:t>
            </w:r>
          </w:p>
        </w:tc>
        <w:tc>
          <w:tcPr>
            <w:tcW w:type="dxa" w:w="2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work_order.*</w:t>
            </w:r>
          </w:p>
        </w:tc>
      </w:tr>
      <w:tr>
        <w:tc>
          <w:tcPr>
            <w:tcW w:type="dxa" w:w="25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Native Workflow/Agent Engine</w:t>
            </w:r>
          </w:p>
        </w:tc>
        <w:tc>
          <w:tcPr>
            <w:tcW w:type="dxa" w:w="47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WorkflowAgentsTemplate, WorkStepAgents, WorkflowStepsTemplate, WorkflowActionTemplate, WorkflowHistory</w:t>
            </w:r>
          </w:p>
        </w:tc>
        <w:tc>
          <w:tcPr>
            <w:tcW w:type="dxa" w:w="23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workflow_step.*, agent_binding.*</w:t>
            </w:r>
          </w:p>
        </w:tc>
      </w:tr>
      <w:tr>
        <w:tc>
          <w:tcPr>
            <w:tcW w:type="dxa" w:w="25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Machine &amp; Asset</w:t>
            </w:r>
          </w:p>
        </w:tc>
        <w:tc>
          <w:tcPr>
            <w:tcW w:type="dxa" w:w="47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Machine, MachineMaster, MachineFGMapping, MachineMaterialMapping, MaintenanceWindow, AssetType, ToolingMaster, WeighingMachine</w:t>
            </w:r>
          </w:p>
        </w:tc>
        <w:tc>
          <w:tcPr>
            <w:tcW w:type="dxa" w:w="2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machine.*, maintenance_window.*</w:t>
            </w:r>
          </w:p>
        </w:tc>
      </w:tr>
      <w:tr>
        <w:tc>
          <w:tcPr>
            <w:tcW w:type="dxa" w:w="25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Inventory &amp; Warehouse</w:t>
            </w:r>
          </w:p>
        </w:tc>
        <w:tc>
          <w:tcPr>
            <w:tcW w:type="dxa" w:w="47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Inventory, InventoryByLot, LotMaster, BinMaster, Store, WIPStorage, WIPStorageLocation, WIPRMRequest</w:t>
            </w:r>
          </w:p>
        </w:tc>
        <w:tc>
          <w:tcPr>
            <w:tcW w:type="dxa" w:w="23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inventory.*, lot.*</w:t>
            </w:r>
          </w:p>
        </w:tc>
      </w:tr>
      <w:tr>
        <w:tc>
          <w:tcPr>
            <w:tcW w:type="dxa" w:w="25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Materials / BOM / Product</w:t>
            </w:r>
          </w:p>
        </w:tc>
        <w:tc>
          <w:tcPr>
            <w:tcW w:type="dxa" w:w="47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Materials, RawMaterial, FinishedGood, SemiFinishedGood, BOMMaster, BOMLine, FGRMMapping, FGSFGMapping, ProductMaster, ItemGroup/Type/Colour/Make</w:t>
            </w:r>
          </w:p>
        </w:tc>
        <w:tc>
          <w:tcPr>
            <w:tcW w:type="dxa" w:w="2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material.*, bom.*, product.*</w:t>
            </w:r>
          </w:p>
        </w:tc>
      </w:tr>
      <w:tr>
        <w:tc>
          <w:tcPr>
            <w:tcW w:type="dxa" w:w="25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Quality &amp; Compliance</w:t>
            </w:r>
          </w:p>
        </w:tc>
        <w:tc>
          <w:tcPr>
            <w:tcW w:type="dxa" w:w="47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Hold, OnlineHold, Rejected, Scrap, ScrapDispatch, SampleDetails, ToleranceLevel, HSNCode, ExciseClassification</w:t>
            </w:r>
          </w:p>
        </w:tc>
        <w:tc>
          <w:tcPr>
            <w:tcW w:type="dxa" w:w="23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quality_hold.*, scrap.*</w:t>
            </w:r>
          </w:p>
        </w:tc>
      </w:tr>
      <w:tr>
        <w:tc>
          <w:tcPr>
            <w:tcW w:type="dxa" w:w="25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Procurement &amp; Vendor</w:t>
            </w:r>
          </w:p>
        </w:tc>
        <w:tc>
          <w:tcPr>
            <w:tcW w:type="dxa" w:w="47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PODetails, RMInward, RMInwardDetails, RMInvoice, Vendors, PurchaseReturn, MaterialTransit</w:t>
            </w:r>
          </w:p>
        </w:tc>
        <w:tc>
          <w:tcPr>
            <w:tcW w:type="dxa" w:w="2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purchase_order.*, vendor.*</w:t>
            </w:r>
          </w:p>
        </w:tc>
      </w:tr>
      <w:tr>
        <w:tc>
          <w:tcPr>
            <w:tcW w:type="dxa" w:w="25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Sales &amp; Demand</w:t>
            </w:r>
          </w:p>
        </w:tc>
        <w:tc>
          <w:tcPr>
            <w:tcW w:type="dxa" w:w="47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SalesOrder, Customer, SalesPerson, SalesForecastHeader, SalesForecasts</w:t>
            </w:r>
          </w:p>
        </w:tc>
        <w:tc>
          <w:tcPr>
            <w:tcW w:type="dxa" w:w="23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sales_order.*, forecast.*</w:t>
            </w:r>
          </w:p>
        </w:tc>
      </w:tr>
      <w:tr>
        <w:tc>
          <w:tcPr>
            <w:tcW w:type="dxa" w:w="25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Alerts &amp; Notification</w:t>
            </w:r>
          </w:p>
        </w:tc>
        <w:tc>
          <w:tcPr>
            <w:tcW w:type="dxa" w:w="47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AlertMaster, NotificationRule, PriorityMaster</w:t>
            </w:r>
          </w:p>
        </w:tc>
        <w:tc>
          <w:tcPr>
            <w:tcW w:type="dxa" w:w="2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alert.*, notification_rule.*</w:t>
            </w:r>
          </w:p>
        </w:tc>
      </w:tr>
      <w:tr>
        <w:tc>
          <w:tcPr>
            <w:tcW w:type="dxa" w:w="25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Packaging &amp; Logistics</w:t>
            </w:r>
          </w:p>
        </w:tc>
        <w:tc>
          <w:tcPr>
            <w:tcW w:type="dxa" w:w="47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PackagingType, JumboPackaging, ContainerCapacity, VehicleDetails, MaterialDispatch, ReturnData</w:t>
            </w:r>
          </w:p>
        </w:tc>
        <w:tc>
          <w:tcPr>
            <w:tcW w:type="dxa" w:w="23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dispatch.*, packaging.*</w:t>
            </w:r>
          </w:p>
        </w:tc>
      </w:tr>
      <w:tr>
        <w:tc>
          <w:tcPr>
            <w:tcW w:type="dxa" w:w="25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Master/Reference Data</w:t>
            </w:r>
          </w:p>
        </w:tc>
        <w:tc>
          <w:tcPr>
            <w:tcW w:type="dxa" w:w="47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OperatorMaster, ShiftMaster, ShiftCalendar, ServiceType, SpareType, CapacityAnalysis</w:t>
            </w:r>
          </w:p>
        </w:tc>
        <w:tc>
          <w:tcPr>
            <w:tcW w:type="dxa" w:w="2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reference.*</w:t>
            </w:r>
          </w:p>
        </w:tc>
      </w:tr>
    </w:tbl>
    <w:p>
      <w:pPr>
        <w:pStyle w:val="Heading2"/>
        <w:spacing w:after="160" w:before="320"/>
      </w:pPr>
      <w:r>
        <w:rPr>
          <w:b/>
          <w:bCs/>
          <w:color w:val="1F3864"/>
          <w:sz w:val="24"/>
          <w:szCs w:val="24"/>
        </w:rPr>
        <w:t xml:space="preserve">7.2 Why This Matters for Agent Design</w:t>
      </w:r>
    </w:p>
    <w:p>
      <w:pPr>
        <w:spacing w:after="160" w:line="276"/>
        <w:jc w:val="both"/>
      </w:pPr>
      <w:r>
        <w:rPr>
          <w:sz w:val="21"/>
          <w:szCs w:val="21"/>
        </w:rPr>
        <w:t xml:space="preserve">Because the reference MES already models workflows, steps and agent bindings natively (WorkflowAgentsTemplate/WorkStepAgents), IIIoT's own Canonical Data Model should include a first-class workflow_step and agent_binding entity — not just production/inventory entities — so that where a customer's MES already exposes this concept, the platform can map to it directly instead of re-deriving it. Where a customer's MES does not have this concept, IIIoT's own Workflow Engine (Section 8) fills the gap.</w:t>
      </w:r>
    </w:p>
    <w:p>
      <w:pPr>
        <w:spacing w:after="160" w:line="276"/>
        <w:jc w:val="both"/>
      </w:pPr>
      <w:r>
        <w:rPr>
          <w:sz w:val="21"/>
          <w:szCs w:val="21"/>
        </w:rPr>
        <w:t xml:space="preserve">The AlertMaster/NotificationRule/PriorityMaster group similarly validates the Notification System design in Section 14 — many MES products already have a notification substrate that IIIoT should integrate with (subscribe to it) rather than duplicate.</w:t>
      </w:r>
    </w:p>
    <w:p>
      <w:r>
        <w:br w:type="page"/>
      </w:r>
    </w:p>
    <w:p>
      <w:pPr>
        <w:pStyle w:val="Heading1"/>
        <w:pBdr>
          <w:bottom w:val="single" w:color="0E7C7B" w:sz="8" w:space="4"/>
        </w:pBdr>
        <w:spacing w:after="240" w:before="480"/>
      </w:pPr>
      <w:r>
        <w:rPr>
          <w:b/>
          <w:bCs/>
          <w:color w:val="1F3864"/>
          <w:sz w:val="30"/>
          <w:szCs w:val="30"/>
        </w:rPr>
        <w:t xml:space="preserve">8. Agentic AI Architecture</w:t>
      </w:r>
    </w:p>
    <w:p>
      <w:pPr>
        <w:pStyle w:val="Heading2"/>
        <w:spacing w:after="160" w:before="320"/>
      </w:pPr>
      <w:r>
        <w:rPr>
          <w:b/>
          <w:bCs/>
          <w:color w:val="1F3864"/>
          <w:sz w:val="24"/>
          <w:szCs w:val="24"/>
        </w:rPr>
        <w:t xml:space="preserve">8.1 Agent Registry &amp; Capability-Gated Activation</w:t>
      </w:r>
    </w:p>
    <w:p>
      <w:pPr>
        <w:spacing w:after="160" w:line="276"/>
        <w:jc w:val="both"/>
      </w:pPr>
      <w:r>
        <w:rPr>
          <w:sz w:val="21"/>
          <w:szCs w:val="21"/>
        </w:rPr>
        <w:t xml:space="preserve">Every agent is defined as a manifest (YAML/JSON) containing: agent_id, display_name, strategic_pillar, required_canonical_fields, tools[], approval_required (bool), default_schedule/trigger, and llm_profile (which model tier it needs). At runtime the Capability Resolver (Section 6.4) evaluates required_canonical_fields against the live mapping and marks the agent Available or Hidden. Available agents are listed in the Use-Case Library as disabled-by-default toggles — matching the explicit requirement that agents are shown but not auto-enabled.</w:t>
      </w:r>
    </w:p>
    <w:p>
      <w:pPr>
        <w:pStyle w:val="Heading2"/>
        <w:spacing w:after="160" w:before="320"/>
      </w:pPr>
      <w:r>
        <w:rPr>
          <w:b/>
          <w:bCs/>
          <w:color w:val="1F3864"/>
          <w:sz w:val="24"/>
          <w:szCs w:val="24"/>
        </w:rPr>
        <w:t xml:space="preserve">8.2 Use-Case Library — Five Strategic Pillars</w:t>
      </w:r>
    </w:p>
    <w:p>
      <w:pPr>
        <w:spacing w:after="160" w:line="276"/>
        <w:jc w:val="both"/>
      </w:pPr>
      <w:r>
        <w:rPr>
          <w:sz w:val="21"/>
          <w:szCs w:val="21"/>
        </w:rPr>
        <w:t xml:space="preserve">Organized directly from the internal vision mock-up; this taxonomy is the primary navigation structure of the customer-facing portal.</w:t>
      </w:r>
    </w:p>
    <w:p>
      <w:pPr>
        <w:pStyle w:val="Heading3"/>
        <w:spacing w:after="120" w:before="220"/>
      </w:pPr>
      <w:r>
        <w:rPr>
          <w:b/>
          <w:bCs/>
          <w:color w:val="0E7C7B"/>
          <w:sz w:val="21"/>
          <w:szCs w:val="21"/>
        </w:rPr>
        <w:t xml:space="preserve">Pillar 1 — Operational Excellence</w:t>
      </w:r>
    </w:p>
    <w:p>
      <w:pPr>
        <w:pStyle w:val="ListParagraph"/>
        <w:numPr>
          <w:ilvl w:val="0"/>
          <w:numId w:val="1"/>
        </w:numPr>
        <w:spacing w:after="90"/>
      </w:pPr>
      <w:r>
        <w:rPr>
          <w:sz w:val="21"/>
          <w:szCs w:val="21"/>
        </w:rPr>
        <w:t xml:space="preserve">Agentic Daily Operations Reporting — auto-compiles a shift/day operations summary from work-order, machine and quality data.</w:t>
      </w:r>
    </w:p>
    <w:p>
      <w:pPr>
        <w:pStyle w:val="ListParagraph"/>
        <w:numPr>
          <w:ilvl w:val="0"/>
          <w:numId w:val="1"/>
        </w:numPr>
        <w:spacing w:after="90"/>
      </w:pPr>
      <w:r>
        <w:rPr>
          <w:sz w:val="21"/>
          <w:szCs w:val="21"/>
        </w:rPr>
        <w:t xml:space="preserve">Knowledge Assistant / Chat-with-Data — natural-language Q&amp;A over the customer's own operational data via the Data Intelligence Layer.</w:t>
      </w:r>
    </w:p>
    <w:p>
      <w:pPr>
        <w:pStyle w:val="Heading3"/>
        <w:spacing w:after="120" w:before="220"/>
      </w:pPr>
      <w:r>
        <w:rPr>
          <w:b/>
          <w:bCs/>
          <w:color w:val="0E7C7B"/>
          <w:sz w:val="21"/>
          <w:szCs w:val="21"/>
        </w:rPr>
        <w:t xml:space="preserve">Pillar 2 — Smart Growth &amp; Expansion</w:t>
      </w:r>
    </w:p>
    <w:p>
      <w:pPr>
        <w:pStyle w:val="ListParagraph"/>
        <w:numPr>
          <w:ilvl w:val="0"/>
          <w:numId w:val="1"/>
        </w:numPr>
        <w:spacing w:after="90"/>
      </w:pPr>
      <w:r>
        <w:rPr>
          <w:sz w:val="21"/>
          <w:szCs w:val="21"/>
        </w:rPr>
        <w:t xml:space="preserve">Production Orchestration Agent — combines machine capacity + worker availability + material availability to propose an optimized production schedule.</w:t>
      </w:r>
    </w:p>
    <w:p>
      <w:pPr>
        <w:pStyle w:val="ListParagraph"/>
        <w:numPr>
          <w:ilvl w:val="0"/>
          <w:numId w:val="1"/>
        </w:numPr>
        <w:spacing w:after="90"/>
      </w:pPr>
      <w:r>
        <w:rPr>
          <w:sz w:val="21"/>
          <w:szCs w:val="21"/>
        </w:rPr>
        <w:t xml:space="preserve">Digital Twin (what-if simulation) — e.g. "what happens if we increase production by 20%?" → simulates output/energy impact and flags overload risk before a decision is made.</w:t>
      </w:r>
    </w:p>
    <w:p>
      <w:pPr>
        <w:pStyle w:val="Heading3"/>
        <w:spacing w:after="120" w:before="220"/>
      </w:pPr>
      <w:r>
        <w:rPr>
          <w:b/>
          <w:bCs/>
          <w:color w:val="0E7C7B"/>
          <w:sz w:val="21"/>
          <w:szCs w:val="21"/>
        </w:rPr>
        <w:t xml:space="preserve">Pillar 3 — Sustainable Operations</w:t>
      </w:r>
    </w:p>
    <w:p>
      <w:pPr>
        <w:pStyle w:val="ListParagraph"/>
        <w:numPr>
          <w:ilvl w:val="0"/>
          <w:numId w:val="1"/>
        </w:numPr>
        <w:spacing w:after="90"/>
      </w:pPr>
      <w:r>
        <w:rPr>
          <w:sz w:val="21"/>
          <w:szCs w:val="21"/>
        </w:rPr>
        <w:t xml:space="preserve">Computer Vision Safety Agent — camera feed → vision model → AI agent → alert pipeline for PPE/safety-zone violations.</w:t>
      </w:r>
    </w:p>
    <w:p>
      <w:pPr>
        <w:pStyle w:val="ListParagraph"/>
        <w:numPr>
          <w:ilvl w:val="0"/>
          <w:numId w:val="1"/>
        </w:numPr>
        <w:spacing w:after="90"/>
      </w:pPr>
      <w:r>
        <w:rPr>
          <w:sz w:val="21"/>
          <w:szCs w:val="21"/>
        </w:rPr>
        <w:t xml:space="preserve">IoT Asset Monitoring Agent — continuous temperature/vibration/energy/pressure monitoring with anomaly alerts (e.g. for motors).</w:t>
      </w:r>
    </w:p>
    <w:p>
      <w:pPr>
        <w:pStyle w:val="Heading3"/>
        <w:spacing w:after="120" w:before="220"/>
      </w:pPr>
      <w:r>
        <w:rPr>
          <w:b/>
          <w:bCs/>
          <w:color w:val="0E7C7B"/>
          <w:sz w:val="21"/>
          <w:szCs w:val="21"/>
        </w:rPr>
        <w:t xml:space="preserve">Pillar 4 — Financial Resilience</w:t>
      </w:r>
    </w:p>
    <w:p>
      <w:pPr>
        <w:pStyle w:val="ListParagraph"/>
        <w:numPr>
          <w:ilvl w:val="0"/>
          <w:numId w:val="1"/>
        </w:numPr>
        <w:spacing w:after="90"/>
      </w:pPr>
      <w:r>
        <w:rPr>
          <w:sz w:val="21"/>
          <w:szCs w:val="21"/>
        </w:rPr>
        <w:t xml:space="preserve">OT Cyber Anomaly Detection — monitors PLC network/SCADA traffic/industrial device commands for unusual patterns (e.g. an unexpected command sent to a PLC).</w:t>
      </w:r>
    </w:p>
    <w:p>
      <w:pPr>
        <w:pStyle w:val="ListParagraph"/>
        <w:numPr>
          <w:ilvl w:val="0"/>
          <w:numId w:val="1"/>
        </w:numPr>
        <w:spacing w:after="90"/>
      </w:pPr>
      <w:r>
        <w:rPr>
          <w:sz w:val="21"/>
          <w:szCs w:val="21"/>
        </w:rPr>
        <w:t xml:space="preserve">Commercial Forecast Intelligence — combines sales data, production capacity, inventory and market demand into a demand forecast.</w:t>
      </w:r>
    </w:p>
    <w:p>
      <w:pPr>
        <w:pStyle w:val="Heading3"/>
        <w:spacing w:after="120" w:before="220"/>
      </w:pPr>
      <w:r>
        <w:rPr>
          <w:b/>
          <w:bCs/>
          <w:color w:val="0E7C7B"/>
          <w:sz w:val="21"/>
          <w:szCs w:val="21"/>
        </w:rPr>
        <w:t xml:space="preserve">Pillar 5 — Horizontal Enterprise</w:t>
      </w:r>
    </w:p>
    <w:p>
      <w:pPr>
        <w:pStyle w:val="ListParagraph"/>
        <w:numPr>
          <w:ilvl w:val="0"/>
          <w:numId w:val="1"/>
        </w:numPr>
        <w:spacing w:after="90"/>
      </w:pPr>
      <w:r>
        <w:rPr>
          <w:sz w:val="21"/>
          <w:szCs w:val="21"/>
        </w:rPr>
        <w:t xml:space="preserve">AI Technical Support Desk — operator reports "machine stopped," agent identifies the machine, checks the error code, searches the manual, suggests a fix, and creates a ticket if unresolved.</w:t>
      </w:r>
    </w:p>
    <w:p>
      <w:pPr>
        <w:pStyle w:val="ListParagraph"/>
        <w:numPr>
          <w:ilvl w:val="0"/>
          <w:numId w:val="1"/>
        </w:numPr>
        <w:spacing w:after="90"/>
      </w:pPr>
      <w:r>
        <w:rPr>
          <w:sz w:val="21"/>
          <w:szCs w:val="21"/>
        </w:rPr>
        <w:t xml:space="preserve">Finance Invoice Agent — cross-checks a supplier invoice against purchase order, delivery receipt and contract, and flags mismatches (e.g. invoice quantity vs. PO quantity).</w:t>
      </w:r>
    </w:p>
    <w:p>
      <w:pPr>
        <w:pStyle w:val="Heading2"/>
        <w:spacing w:after="160" w:before="320"/>
      </w:pPr>
      <w:r>
        <w:rPr>
          <w:b/>
          <w:bCs/>
          <w:color w:val="1F3864"/>
          <w:sz w:val="24"/>
          <w:szCs w:val="24"/>
        </w:rPr>
        <w:t xml:space="preserve">8.3 Agent Pipeline Design (LangGraph-Based)</w:t>
      </w:r>
    </w:p>
    <w:p>
      <w:pPr>
        <w:spacing w:after="160" w:line="276"/>
        <w:jc w:val="both"/>
      </w:pPr>
      <w:r>
        <w:rPr>
          <w:sz w:val="21"/>
          <w:szCs w:val="21"/>
        </w:rPr>
        <w:t xml:space="preserve">Each agent is modeled as a LangGraph state graph rather than a single prompt call, so that multi-step reasoning, tool use and approval gates are explicit, inspectable nodes rather than hidden inside one large LLM call.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rPr>
          <w:tblHeader/>
        </w:trPr>
        <w:tc>
          <w:tcPr>
            <w:tcW w:type="dxa" w:w="2300"/>
            <w:shd w:fill="1F3864" w:val="clear"/>
            <w:tcMar>
              <w:top w:type="dxa" w:w="80"/>
              <w:left w:type="dxa" w:w="100"/>
              <w:bottom w:type="dxa" w:w="80"/>
              <w:right w:type="dxa" w:w="100"/>
            </w:tcMar>
            <w:vAlign w:val="center"/>
          </w:tcPr>
          <w:p>
            <w:pPr>
              <w:jc w:val="left"/>
            </w:pPr>
            <w:r>
              <w:rPr>
                <w:b/>
                <w:bCs/>
                <w:color w:val="FFFFFF"/>
                <w:sz w:val="19"/>
                <w:szCs w:val="19"/>
              </w:rPr>
              <w:t xml:space="preserve">Node</w:t>
            </w:r>
          </w:p>
        </w:tc>
        <w:tc>
          <w:tcPr>
            <w:tcW w:type="dxa" w:w="7200"/>
            <w:shd w:fill="1F3864" w:val="clear"/>
            <w:tcMar>
              <w:top w:type="dxa" w:w="80"/>
              <w:left w:type="dxa" w:w="100"/>
              <w:bottom w:type="dxa" w:w="80"/>
              <w:right w:type="dxa" w:w="100"/>
            </w:tcMar>
            <w:vAlign w:val="center"/>
          </w:tcPr>
          <w:p>
            <w:pPr>
              <w:jc w:val="left"/>
            </w:pPr>
            <w:r>
              <w:rPr>
                <w:b/>
                <w:bCs/>
                <w:color w:val="FFFFFF"/>
                <w:sz w:val="19"/>
                <w:szCs w:val="19"/>
              </w:rPr>
              <w:t xml:space="preserve">Purpose</w:t>
            </w:r>
          </w:p>
        </w:tc>
      </w:tr>
      <w:tr>
        <w:tc>
          <w:tcPr>
            <w:tcW w:type="dxa" w:w="23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Trigger</w:t>
            </w:r>
          </w:p>
        </w:tc>
        <w:tc>
          <w:tcPr>
            <w:tcW w:type="dxa" w:w="72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Schedule-based (cron), event-based (webhook/CDC change), or user-invoked.</w:t>
            </w:r>
          </w:p>
        </w:tc>
      </w:tr>
      <w:tr>
        <w:tc>
          <w:tcPr>
            <w:tcW w:type="dxa" w:w="2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Context Fetch</w:t>
            </w:r>
          </w:p>
        </w:tc>
        <w:tc>
          <w:tcPr>
            <w:tcW w:type="dxa" w:w="7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Pulls required canonical fields from the Data Intelligence Layer (cache-first, falls back to live adapter call).</w:t>
            </w:r>
          </w:p>
        </w:tc>
      </w:tr>
      <w:tr>
        <w:tc>
          <w:tcPr>
            <w:tcW w:type="dxa" w:w="23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Plan</w:t>
            </w:r>
          </w:p>
        </w:tc>
        <w:tc>
          <w:tcPr>
            <w:tcW w:type="dxa" w:w="72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LLM proposes a plan / tool-call sequence, constrained by the agent's declared tool list.</w:t>
            </w:r>
          </w:p>
        </w:tc>
      </w:tr>
      <w:tr>
        <w:tc>
          <w:tcPr>
            <w:tcW w:type="dxa" w:w="2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Tool Execution</w:t>
            </w:r>
          </w:p>
        </w:tc>
        <w:tc>
          <w:tcPr>
            <w:tcW w:type="dxa" w:w="7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Executes read tools freely; write/action tools are queued, not executed, if approval_required = true.</w:t>
            </w:r>
          </w:p>
        </w:tc>
      </w:tr>
      <w:tr>
        <w:tc>
          <w:tcPr>
            <w:tcW w:type="dxa" w:w="23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Guardrails Check</w:t>
            </w:r>
          </w:p>
        </w:tc>
        <w:tc>
          <w:tcPr>
            <w:tcW w:type="dxa" w:w="72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Validates output against schema/policy constraints (Guardrails AI) before it can reach a human or a downstream system.</w:t>
            </w:r>
          </w:p>
        </w:tc>
      </w:tr>
      <w:tr>
        <w:tc>
          <w:tcPr>
            <w:tcW w:type="dxa" w:w="2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Human Approval Gate</w:t>
            </w:r>
          </w:p>
        </w:tc>
        <w:tc>
          <w:tcPr>
            <w:tcW w:type="dxa" w:w="7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Surfaces the proposed action in the portal/notification channel; waits for approve/reject/edit.</w:t>
            </w:r>
          </w:p>
        </w:tc>
      </w:tr>
      <w:tr>
        <w:tc>
          <w:tcPr>
            <w:tcW w:type="dxa" w:w="23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Commit &amp; Log</w:t>
            </w:r>
          </w:p>
        </w:tc>
        <w:tc>
          <w:tcPr>
            <w:tcW w:type="dxa" w:w="72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Writes the final action + full reasoning trace to the platform DB and to LangSmith for observability.</w:t>
            </w:r>
          </w:p>
        </w:tc>
      </w:tr>
    </w:tbl>
    <w:p>
      <w:pPr>
        <w:pStyle w:val="Heading2"/>
        <w:spacing w:after="160" w:before="320"/>
      </w:pPr>
      <w:r>
        <w:rPr>
          <w:b/>
          <w:bCs/>
          <w:color w:val="1F3864"/>
          <w:sz w:val="24"/>
          <w:szCs w:val="24"/>
        </w:rPr>
        <w:t xml:space="preserve">8.4 Human-in-the-Loop</w:t>
      </w:r>
    </w:p>
    <w:p>
      <w:pPr>
        <w:spacing w:after="160" w:line="276"/>
        <w:jc w:val="both"/>
      </w:pPr>
      <w:r>
        <w:rPr>
          <w:sz w:val="21"/>
          <w:szCs w:val="21"/>
        </w:rPr>
        <w:t xml:space="preserve">Every agent manifest carries an approval_required flag, configurable per customer per agent (mirrors the "Human approval required" toggle seen in the internal mock-up's governance panel). Two modes are supported:</w:t>
      </w:r>
    </w:p>
    <w:p>
      <w:pPr>
        <w:pStyle w:val="ListParagraph"/>
        <w:numPr>
          <w:ilvl w:val="0"/>
          <w:numId w:val="1"/>
        </w:numPr>
        <w:spacing w:after="90"/>
      </w:pPr>
      <w:r>
        <w:rPr>
          <w:sz w:val="21"/>
          <w:szCs w:val="21"/>
        </w:rPr>
        <w:t xml:space="preserve">Advisory mode — agent proposes an action; a human must explicitly approve before it executes (default for anything financial, safety-critical, or that writes back to a customer system).</w:t>
      </w:r>
    </w:p>
    <w:p>
      <w:pPr>
        <w:pStyle w:val="ListParagraph"/>
        <w:numPr>
          <w:ilvl w:val="0"/>
          <w:numId w:val="1"/>
        </w:numPr>
        <w:spacing w:after="90"/>
      </w:pPr>
      <w:r>
        <w:rPr>
          <w:sz w:val="21"/>
          <w:szCs w:val="21"/>
        </w:rPr>
        <w:t xml:space="preserve">Autonomous mode — agent executes directly and simply logs/notifies (available only for read-only or low-risk actions, and only after a customer has explicitly opted an agent into this mode).</w:t>
      </w:r>
    </w:p>
    <w:p>
      <w:pPr>
        <w:spacing w:after="160" w:line="276"/>
        <w:jc w:val="both"/>
      </w:pPr>
      <w:r>
        <w:rPr>
          <w:sz w:val="21"/>
          <w:szCs w:val="21"/>
        </w:rPr>
        <w:t xml:space="preserve">All approvals/rejections are stored with actor, timestamp and reason, forming the audit trail referenced in Section 12.</w:t>
      </w:r>
    </w:p>
    <w:p>
      <w:r>
        <w:br w:type="page"/>
      </w:r>
    </w:p>
    <w:p>
      <w:pPr>
        <w:pStyle w:val="Heading1"/>
        <w:pBdr>
          <w:bottom w:val="single" w:color="0E7C7B" w:sz="8" w:space="4"/>
        </w:pBdr>
        <w:spacing w:after="240" w:before="480"/>
      </w:pPr>
      <w:r>
        <w:rPr>
          <w:b/>
          <w:bCs/>
          <w:color w:val="1F3864"/>
          <w:sz w:val="30"/>
          <w:szCs w:val="30"/>
        </w:rPr>
        <w:t xml:space="preserve">9. Technology Stack</w:t>
      </w:r>
    </w:p>
    <w:p>
      <w:pPr>
        <w:spacing w:after="160" w:line="276"/>
        <w:jc w:val="both"/>
      </w:pPr>
      <w:r>
        <w:rPr>
          <w:sz w:val="21"/>
          <w:szCs w:val="21"/>
        </w:rPr>
        <w:t xml:space="preserve">The stack below is organized by layer, matching Section 5.1, with the reasoning for each choice so the decision is not just prescriptive but explainable to the team.</w:t>
      </w:r>
    </w:p>
    <w:p>
      <w:pPr>
        <w:pStyle w:val="Heading2"/>
        <w:spacing w:after="160" w:before="320"/>
      </w:pPr>
      <w:r>
        <w:rPr>
          <w:b/>
          <w:bCs/>
          <w:color w:val="1F3864"/>
          <w:sz w:val="24"/>
          <w:szCs w:val="24"/>
        </w:rPr>
        <w:t xml:space="preserve">9.1 AI Orchestration &amp; Governance Layer</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30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Component</w:t>
            </w:r>
          </w:p>
        </w:tc>
        <w:tc>
          <w:tcPr>
            <w:tcW w:type="dxa" w:w="3200"/>
            <w:shd w:fill="1F3864" w:val="clear"/>
            <w:tcMar>
              <w:top w:type="dxa" w:w="80"/>
              <w:left w:type="dxa" w:w="100"/>
              <w:bottom w:type="dxa" w:w="80"/>
              <w:right w:type="dxa" w:w="100"/>
            </w:tcMar>
            <w:vAlign w:val="center"/>
          </w:tcPr>
          <w:p>
            <w:pPr>
              <w:jc w:val="left"/>
            </w:pPr>
            <w:r>
              <w:rPr>
                <w:b/>
                <w:bCs/>
                <w:color w:val="FFFFFF"/>
                <w:sz w:val="19"/>
                <w:szCs w:val="19"/>
              </w:rPr>
              <w:t xml:space="preserve">Technology</w:t>
            </w:r>
          </w:p>
        </w:tc>
        <w:tc>
          <w:tcPr>
            <w:tcW w:type="dxa" w:w="3300"/>
            <w:shd w:fill="1F3864" w:val="clear"/>
            <w:tcMar>
              <w:top w:type="dxa" w:w="80"/>
              <w:left w:type="dxa" w:w="100"/>
              <w:bottom w:type="dxa" w:w="80"/>
              <w:right w:type="dxa" w:w="100"/>
            </w:tcMar>
            <w:vAlign w:val="center"/>
          </w:tcPr>
          <w:p>
            <w:pPr>
              <w:jc w:val="left"/>
            </w:pPr>
            <w:r>
              <w:rPr>
                <w:b/>
                <w:bCs/>
                <w:color w:val="FFFFFF"/>
                <w:sz w:val="19"/>
                <w:szCs w:val="19"/>
              </w:rPr>
              <w:t xml:space="preserve">Why</w:t>
            </w:r>
          </w:p>
        </w:tc>
      </w:tr>
      <w:tr>
        <w:tc>
          <w:tcPr>
            <w:tcW w:type="dxa" w:w="24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Agent orchestration</w:t>
            </w:r>
          </w:p>
        </w:tc>
        <w:tc>
          <w:tcPr>
            <w:tcW w:type="dxa" w:w="32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LangGraph</w:t>
            </w:r>
          </w:p>
        </w:tc>
        <w:tc>
          <w:tcPr>
            <w:tcW w:type="dxa" w:w="33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Explicit stateful graphs give inspectable, debuggable multi-step agent flows and native support for human-in-the-loop interrupt/resume.</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LLM application framework</w:t>
            </w:r>
          </w:p>
        </w:tc>
        <w:tc>
          <w:tcPr>
            <w:tcW w:type="dxa" w:w="3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LangChain</w:t>
            </w:r>
          </w:p>
        </w:tc>
        <w:tc>
          <w:tcPr>
            <w:tcW w:type="dxa" w:w="3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Standardized retrievers, tool wrappers and document loaders across many LLM providers; large ecosystem for MES/ERP-style structured tool calling.</w:t>
            </w:r>
          </w:p>
        </w:tc>
      </w:tr>
      <w:tr>
        <w:tc>
          <w:tcPr>
            <w:tcW w:type="dxa" w:w="24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Output validation / policy</w:t>
            </w:r>
          </w:p>
        </w:tc>
        <w:tc>
          <w:tcPr>
            <w:tcW w:type="dxa" w:w="32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Guardrails AI</w:t>
            </w:r>
          </w:p>
        </w:tc>
        <w:tc>
          <w:tcPr>
            <w:tcW w:type="dxa" w:w="33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Enforces structured-output schemas and safety policies on every agent output before it reaches a human or downstream system.</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LLM Gateway</w:t>
            </w:r>
          </w:p>
        </w:tc>
        <w:tc>
          <w:tcPr>
            <w:tcW w:type="dxa" w:w="3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LiteLLM Gateway (self-hosted) or Portkey/OpenRouter-style gateway</w:t>
            </w:r>
          </w:p>
        </w:tc>
        <w:tc>
          <w:tcPr>
            <w:tcW w:type="dxa" w:w="3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Single API surface across OpenAI/Gemini/Anthropic/Grok/etc.; enables automatic fallback and per-key quota tracking without touching agent code.</w:t>
            </w:r>
          </w:p>
        </w:tc>
      </w:tr>
      <w:tr>
        <w:tc>
          <w:tcPr>
            <w:tcW w:type="dxa" w:w="24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Observability / tracing</w:t>
            </w:r>
          </w:p>
        </w:tc>
        <w:tc>
          <w:tcPr>
            <w:tcW w:type="dxa" w:w="32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LangSmith</w:t>
            </w:r>
          </w:p>
        </w:tc>
        <w:tc>
          <w:tcPr>
            <w:tcW w:type="dxa" w:w="33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Full run traces, token/cost per run, prompt versioning — critical for the "show instructions during development" requirement (Section 15).</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Vector store (semantic search / RAG)</w:t>
            </w:r>
          </w:p>
        </w:tc>
        <w:tc>
          <w:tcPr>
            <w:tcW w:type="dxa" w:w="3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pgvector (inside PostgreSQL) or Qdrant</w:t>
            </w:r>
          </w:p>
        </w:tc>
        <w:tc>
          <w:tcPr>
            <w:tcW w:type="dxa" w:w="3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Keeps the vector index close to relational data for local deployments; Qdrant as a scalable option for cloud deployments.</w:t>
            </w:r>
          </w:p>
        </w:tc>
      </w:tr>
    </w:tbl>
    <w:p>
      <w:pPr>
        <w:pStyle w:val="Heading2"/>
        <w:spacing w:after="160" w:before="320"/>
      </w:pPr>
      <w:r>
        <w:rPr>
          <w:b/>
          <w:bCs/>
          <w:color w:val="1F3864"/>
          <w:sz w:val="24"/>
          <w:szCs w:val="24"/>
        </w:rPr>
        <w:t xml:space="preserve">9.2 Backend</w:t>
      </w:r>
    </w:p>
    <w:p>
      <w:pPr>
        <w:pStyle w:val="ListParagraph"/>
        <w:numPr>
          <w:ilvl w:val="0"/>
          <w:numId w:val="1"/>
        </w:numPr>
        <w:spacing w:after="90"/>
      </w:pPr>
      <w:r>
        <w:rPr>
          <w:sz w:val="21"/>
          <w:szCs w:val="21"/>
        </w:rPr>
        <w:t xml:space="preserve">API layer: Python (FastAPI) for AI/agent services — natural fit with LangChain/LangGraph; Node.js (NestJS) acceptable for pure CRUD/admin services where the team already has Node expertise (e.g. the existing Amazon MCF integration work).</w:t>
      </w:r>
    </w:p>
    <w:p>
      <w:pPr>
        <w:pStyle w:val="ListParagraph"/>
        <w:numPr>
          <w:ilvl w:val="0"/>
          <w:numId w:val="1"/>
        </w:numPr>
        <w:spacing w:after="90"/>
      </w:pPr>
      <w:r>
        <w:rPr>
          <w:sz w:val="21"/>
          <w:szCs w:val="21"/>
        </w:rPr>
        <w:t xml:space="preserve">Async task/queue: Celery + Redis (or Node equivalent BullMQ) for scheduled agent triggers, long-running pipelines and retries.</w:t>
      </w:r>
    </w:p>
    <w:p>
      <w:pPr>
        <w:pStyle w:val="ListParagraph"/>
        <w:numPr>
          <w:ilvl w:val="0"/>
          <w:numId w:val="1"/>
        </w:numPr>
        <w:spacing w:after="90"/>
      </w:pPr>
      <w:r>
        <w:rPr>
          <w:sz w:val="21"/>
          <w:szCs w:val="21"/>
        </w:rPr>
        <w:t xml:space="preserve">Event backbone: Kafka (cloud/enterprise deployments) or a lightweight MQTT broker (edge/local deployments) for IoT and CDC-style change events.</w:t>
      </w:r>
    </w:p>
    <w:p>
      <w:pPr>
        <w:pStyle w:val="Heading2"/>
        <w:spacing w:after="160" w:before="320"/>
      </w:pPr>
      <w:r>
        <w:rPr>
          <w:b/>
          <w:bCs/>
          <w:color w:val="1F3864"/>
          <w:sz w:val="24"/>
          <w:szCs w:val="24"/>
        </w:rPr>
        <w:t xml:space="preserve">9.3 Databases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40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19"/>
                <w:szCs w:val="19"/>
              </w:rPr>
              <w:t xml:space="preserve">Store</w:t>
            </w:r>
          </w:p>
        </w:tc>
        <w:tc>
          <w:tcPr>
            <w:tcW w:type="dxa" w:w="2900"/>
            <w:shd w:fill="1F3864" w:val="clear"/>
            <w:tcMar>
              <w:top w:type="dxa" w:w="80"/>
              <w:left w:type="dxa" w:w="100"/>
              <w:bottom w:type="dxa" w:w="80"/>
              <w:right w:type="dxa" w:w="100"/>
            </w:tcMar>
            <w:vAlign w:val="center"/>
          </w:tcPr>
          <w:p>
            <w:pPr>
              <w:jc w:val="left"/>
            </w:pPr>
            <w:r>
              <w:rPr>
                <w:b/>
                <w:bCs/>
                <w:color w:val="FFFFFF"/>
                <w:sz w:val="19"/>
                <w:szCs w:val="19"/>
              </w:rPr>
              <w:t xml:space="preserve">Technology</w:t>
            </w:r>
          </w:p>
        </w:tc>
        <w:tc>
          <w:tcPr>
            <w:tcW w:type="dxa" w:w="3400"/>
            <w:shd w:fill="1F3864" w:val="clear"/>
            <w:tcMar>
              <w:top w:type="dxa" w:w="80"/>
              <w:left w:type="dxa" w:w="100"/>
              <w:bottom w:type="dxa" w:w="80"/>
              <w:right w:type="dxa" w:w="100"/>
            </w:tcMar>
            <w:vAlign w:val="center"/>
          </w:tcPr>
          <w:p>
            <w:pPr>
              <w:jc w:val="left"/>
            </w:pPr>
            <w:r>
              <w:rPr>
                <w:b/>
                <w:bCs/>
                <w:color w:val="FFFFFF"/>
                <w:sz w:val="19"/>
                <w:szCs w:val="19"/>
              </w:rPr>
              <w:t xml:space="preserve">Used For</w:t>
            </w:r>
          </w:p>
        </w:tc>
      </w:tr>
      <w:tr>
        <w:tc>
          <w:tcPr>
            <w:tcW w:type="dxa" w:w="26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Platform system-of-record</w:t>
            </w:r>
          </w:p>
        </w:tc>
        <w:tc>
          <w:tcPr>
            <w:tcW w:type="dxa" w:w="29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PostgreSQL</w:t>
            </w:r>
          </w:p>
        </w:tc>
        <w:tc>
          <w:tcPr>
            <w:tcW w:type="dxa" w:w="34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Schema Registry, Capability Matrix, agent configs, approvals, audit log, encrypted credentials, cost/usage records.</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Time-series (IoT telemetry)</w:t>
            </w:r>
          </w:p>
        </w:tc>
        <w:tc>
          <w:tcPr>
            <w:tcW w:type="dxa" w:w="2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TimescaleDB (Postgres extension) or InfluxDB</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Temperature/vibration/energy/pressure streams from IoT Asset Monitoring agents.</w:t>
            </w:r>
          </w:p>
        </w:tc>
      </w:tr>
      <w:tr>
        <w:tc>
          <w:tcPr>
            <w:tcW w:type="dxa" w:w="26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Vector store</w:t>
            </w:r>
          </w:p>
        </w:tc>
        <w:tc>
          <w:tcPr>
            <w:tcW w:type="dxa" w:w="29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pgvector / Qdrant</w:t>
            </w:r>
          </w:p>
        </w:tc>
        <w:tc>
          <w:tcPr>
            <w:tcW w:type="dxa" w:w="34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Embeddings for Knowledge Assistant / Chat-with-Data and manual/troubleshooting search.</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Cache</w:t>
            </w:r>
          </w:p>
        </w:tc>
        <w:tc>
          <w:tcPr>
            <w:tcW w:type="dxa" w:w="2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Redis</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Hot canonical-field cache to avoid re-querying customer systems on every agent tick.</w:t>
            </w:r>
          </w:p>
        </w:tc>
      </w:tr>
    </w:tbl>
    <w:p>
      <w:pPr>
        <w:pStyle w:val="Heading2"/>
        <w:spacing w:after="160" w:before="320"/>
      </w:pPr>
      <w:r>
        <w:rPr>
          <w:b/>
          <w:bCs/>
          <w:color w:val="1F3864"/>
          <w:sz w:val="24"/>
          <w:szCs w:val="24"/>
        </w:rPr>
        <w:t xml:space="preserve">9.4 Frontend</w:t>
      </w:r>
    </w:p>
    <w:p>
      <w:pPr>
        <w:pStyle w:val="ListParagraph"/>
        <w:numPr>
          <w:ilvl w:val="0"/>
          <w:numId w:val="1"/>
        </w:numPr>
        <w:spacing w:after="90"/>
      </w:pPr>
      <w:r>
        <w:rPr>
          <w:sz w:val="21"/>
          <w:szCs w:val="21"/>
        </w:rPr>
        <w:t xml:space="preserve">React + TypeScript, Tailwind CSS for the customer portal (Command Centre, Use-Case Library, per-portal views: ERP/MES/SCADA/IoT/CCTV, Admin Console).</w:t>
      </w:r>
    </w:p>
    <w:p>
      <w:pPr>
        <w:pStyle w:val="ListParagraph"/>
        <w:numPr>
          <w:ilvl w:val="0"/>
          <w:numId w:val="1"/>
        </w:numPr>
        <w:spacing w:after="90"/>
      </w:pPr>
      <w:r>
        <w:rPr>
          <w:sz w:val="21"/>
          <w:szCs w:val="21"/>
        </w:rPr>
        <w:t xml:space="preserve">Component library approach mirrors the internal mock-up's role-based views (Manufacturing Head / Digital &amp; IT Head / HSE Officer / Plant Digital Head).</w:t>
      </w:r>
    </w:p>
    <w:p>
      <w:pPr>
        <w:pStyle w:val="Heading2"/>
        <w:spacing w:after="160" w:before="320"/>
      </w:pPr>
      <w:r>
        <w:rPr>
          <w:b/>
          <w:bCs/>
          <w:color w:val="1F3864"/>
          <w:sz w:val="24"/>
          <w:szCs w:val="24"/>
        </w:rPr>
        <w:t xml:space="preserve">9.5 DevOps / Infrastructure</w:t>
      </w:r>
    </w:p>
    <w:p>
      <w:pPr>
        <w:pStyle w:val="ListParagraph"/>
        <w:numPr>
          <w:ilvl w:val="0"/>
          <w:numId w:val="1"/>
        </w:numPr>
        <w:spacing w:after="90"/>
      </w:pPr>
      <w:r>
        <w:rPr>
          <w:sz w:val="21"/>
          <w:szCs w:val="21"/>
        </w:rPr>
        <w:t xml:space="preserve">Containerization: Docker for every service; Docker Compose for local/edge deployments, Kubernetes (or lightweight K3s for edge) for multi-plant cloud deployments.</w:t>
      </w:r>
    </w:p>
    <w:p>
      <w:pPr>
        <w:pStyle w:val="ListParagraph"/>
        <w:numPr>
          <w:ilvl w:val="0"/>
          <w:numId w:val="1"/>
        </w:numPr>
        <w:spacing w:after="90"/>
      </w:pPr>
      <w:r>
        <w:rPr>
          <w:sz w:val="21"/>
          <w:szCs w:val="21"/>
        </w:rPr>
        <w:t xml:space="preserve">CI/CD: GitHub Actions — lint, test, build image, scan for secrets/vulnerabilities, deploy.</w:t>
      </w:r>
    </w:p>
    <w:p>
      <w:pPr>
        <w:pStyle w:val="ListParagraph"/>
        <w:numPr>
          <w:ilvl w:val="0"/>
          <w:numId w:val="1"/>
        </w:numPr>
        <w:spacing w:after="90"/>
      </w:pPr>
      <w:r>
        <w:rPr>
          <w:sz w:val="21"/>
          <w:szCs w:val="21"/>
        </w:rPr>
        <w:t xml:space="preserve">Secrets management: HashiCorp Vault (cloud) or an encrypted local keystore (edge) — see Section 11 for the encryption approach used for customer-supplied LLM API keys.</w:t>
      </w:r>
    </w:p>
    <w:p>
      <w:pPr>
        <w:pStyle w:val="ListParagraph"/>
        <w:numPr>
          <w:ilvl w:val="0"/>
          <w:numId w:val="1"/>
        </w:numPr>
        <w:spacing w:after="90"/>
      </w:pPr>
      <w:r>
        <w:rPr>
          <w:sz w:val="21"/>
          <w:szCs w:val="21"/>
        </w:rPr>
        <w:t xml:space="preserve">Monitoring/alerting: Prometheus + Grafana for infra metrics; LangSmith for AI-specific metrics; Alertmanager wired into the platform's own Notification System (Section 14).</w:t>
      </w:r>
    </w:p>
    <w:p>
      <w:r>
        <w:br w:type="page"/>
      </w:r>
    </w:p>
    <w:p>
      <w:pPr>
        <w:pStyle w:val="Heading1"/>
        <w:pBdr>
          <w:bottom w:val="single" w:color="0E7C7B" w:sz="8" w:space="4"/>
        </w:pBdr>
        <w:spacing w:after="240" w:before="480"/>
      </w:pPr>
      <w:r>
        <w:rPr>
          <w:b/>
          <w:bCs/>
          <w:color w:val="1F3864"/>
          <w:sz w:val="30"/>
          <w:szCs w:val="30"/>
        </w:rPr>
        <w:t xml:space="preserve">10. Deployment Models — Local vs. Cloud vs. Edge-Hybrid</w:t>
      </w:r>
    </w:p>
    <w:p>
      <w:pPr>
        <w:spacing w:after="160" w:line="276"/>
        <w:jc w:val="both"/>
      </w:pPr>
      <w:r>
        <w:rPr>
          <w:sz w:val="21"/>
          <w:szCs w:val="21"/>
        </w:rPr>
        <w:t xml:space="preserve">The requirement explicitly leaves open whether the platform runs on a user's local machine continuously, or as an online/browser-accessible service. Both are supported as first-class deployment targets, sharing the same codebase, differentiated only by configuration.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90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19"/>
                <w:szCs w:val="19"/>
              </w:rPr>
              <w:t xml:space="preserve">Model</w:t>
            </w:r>
          </w:p>
        </w:tc>
        <w:tc>
          <w:tcPr>
            <w:tcW w:type="dxa" w:w="4400"/>
            <w:shd w:fill="1F3864"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2900"/>
            <w:shd w:fill="1F3864" w:val="clear"/>
            <w:tcMar>
              <w:top w:type="dxa" w:w="80"/>
              <w:left w:type="dxa" w:w="100"/>
              <w:bottom w:type="dxa" w:w="80"/>
              <w:right w:type="dxa" w:w="100"/>
            </w:tcMar>
            <w:vAlign w:val="center"/>
          </w:tcPr>
          <w:p>
            <w:pPr>
              <w:jc w:val="left"/>
            </w:pPr>
            <w:r>
              <w:rPr>
                <w:b/>
                <w:bCs/>
                <w:color w:val="FFFFFF"/>
                <w:sz w:val="19"/>
                <w:szCs w:val="19"/>
              </w:rPr>
              <w:t xml:space="preserve">Best For</w:t>
            </w:r>
          </w:p>
        </w:tc>
      </w:tr>
      <w:tr>
        <w:tc>
          <w:tcPr>
            <w:tcW w:type="dxa" w:w="26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Local / On-Prem</w:t>
            </w:r>
          </w:p>
        </w:tc>
        <w:tc>
          <w:tcPr>
            <w:tcW w:type="dxa" w:w="44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Full stack (Postgres, Redis, agent runtime) runs on customer infrastructure or an edge appliance inside the plant; continuous background execution; works with intermittent internet.</w:t>
            </w:r>
          </w:p>
        </w:tc>
        <w:tc>
          <w:tcPr>
            <w:tcW w:type="dxa" w:w="29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Customers with strict data-sovereignty rules, unreliable connectivity, or OT-network isolation policies.</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Cloud</w:t>
            </w:r>
          </w:p>
        </w:tc>
        <w:tc>
          <w:tcPr>
            <w:tcW w:type="dxa" w:w="4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Fully managed multi-tenant SaaS; customer accesses via browser; agent runtime runs in IIIoT's cloud, connecting out to customer systems via Approach B/C (Section 6).</w:t>
            </w:r>
          </w:p>
        </w:tc>
        <w:tc>
          <w:tcPr>
            <w:tcW w:type="dxa" w:w="2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Customers wanting zero infra ownership, fast onboarding, and centralized multi-plant visibility.</w:t>
            </w:r>
          </w:p>
        </w:tc>
      </w:tr>
      <w:tr>
        <w:tc>
          <w:tcPr>
            <w:tcW w:type="dxa" w:w="26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Edge-Hybrid (recommended long-term default)</w:t>
            </w:r>
          </w:p>
        </w:tc>
        <w:tc>
          <w:tcPr>
            <w:tcW w:type="dxa" w:w="44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Lightweight edge agent runtime at the plant handles IoT/SCADA-latency-sensitive agents (safety, machine monitoring); heavier/less time-sensitive agents (forecasting, invoice checks) and the portal UI run in the cloud.</w:t>
            </w:r>
          </w:p>
        </w:tc>
        <w:tc>
          <w:tcPr>
            <w:tcW w:type="dxa" w:w="29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Multi-plant industrial customers — matches the mock-up's own "Edge + Cloud" / "Edge-only (offline-capable)" environment options.</w:t>
            </w:r>
          </w:p>
        </w:tc>
      </w:tr>
    </w:tbl>
    <w:p>
      <w:pPr>
        <w:spacing w:after="160" w:line="276"/>
        <w:jc w:val="both"/>
      </w:pPr>
      <w:r>
        <w:rPr>
          <w:sz w:val="21"/>
          <w:szCs w:val="21"/>
        </w:rPr>
        <w:t xml:space="preserve">All three modes share one platform DB schema and one agent manifest format — only the deployment topology (where each service physically runs) changes, which keeps the version-agnostic guarantee intact across deployment models too.</w:t>
      </w:r>
    </w:p>
    <w:p>
      <w:pPr>
        <w:pStyle w:val="Heading1"/>
        <w:pBdr>
          <w:bottom w:val="single" w:color="0E7C7B" w:sz="8" w:space="4"/>
        </w:pBdr>
        <w:spacing w:after="240" w:before="480"/>
      </w:pPr>
      <w:r>
        <w:rPr>
          <w:b/>
          <w:bCs/>
          <w:color w:val="1F3864"/>
          <w:sz w:val="30"/>
          <w:szCs w:val="30"/>
        </w:rPr>
        <w:t xml:space="preserve">11. LLM Provider &amp; API Key Management</w:t>
      </w:r>
    </w:p>
    <w:p>
      <w:pPr>
        <w:pStyle w:val="Heading2"/>
        <w:spacing w:after="160" w:before="320"/>
      </w:pPr>
      <w:r>
        <w:rPr>
          <w:b/>
          <w:bCs/>
          <w:color w:val="1F3864"/>
          <w:sz w:val="24"/>
          <w:szCs w:val="24"/>
        </w:rPr>
        <w:t xml:space="preserve">11.1 Bring-Your-Own-Key Model</w:t>
      </w:r>
    </w:p>
    <w:p>
      <w:pPr>
        <w:spacing w:after="160" w:line="276"/>
        <w:jc w:val="both"/>
      </w:pPr>
      <w:r>
        <w:rPr>
          <w:sz w:val="21"/>
          <w:szCs w:val="21"/>
        </w:rPr>
        <w:t xml:space="preserve">Under Settings, each customer can add any number of LLM provider API keys (multiple keys per provider are explicitly supported — e.g. several Gemini keys, several Grok keys — not just one key per provider). Each key is labeled, tagged with a cost tier (cheap/standard/pro) and can be assigned to specific agents or left as a shared pool.</w:t>
      </w:r>
    </w:p>
    <w:p>
      <w:pPr>
        <w:pStyle w:val="Heading2"/>
        <w:spacing w:after="160" w:before="320"/>
      </w:pPr>
      <w:r>
        <w:rPr>
          <w:b/>
          <w:bCs/>
          <w:color w:val="1F3864"/>
          <w:sz w:val="24"/>
          <w:szCs w:val="24"/>
        </w:rPr>
        <w:t xml:space="preserve">11.2 Encryption at Rest</w:t>
      </w:r>
    </w:p>
    <w:p>
      <w:pPr>
        <w:spacing w:after="160" w:line="276"/>
        <w:jc w:val="both"/>
      </w:pPr>
      <w:r>
        <w:rPr>
          <w:sz w:val="21"/>
          <w:szCs w:val="21"/>
        </w:rPr>
        <w:t xml:space="preserve">No API key is ever stored in plaintext. Keys are encrypted using envelope encryption: a per-tenant Data Encryption Key (DEK) encrypts the API key value (AES-256-GCM), and the DEK itself is encrypted by a Key Encryption Key (KEK) held in Vault/KMS. Only the encrypted value and its key-ID are ever written to PostgreSQL; decryption happens in-memory at call time inside the LLM Gateway service only, never in the application/business-logic layer.</w:t>
      </w:r>
    </w:p>
    <w:p>
      <w:pPr>
        <w:pStyle w:val="Heading2"/>
        <w:spacing w:after="160" w:before="320"/>
      </w:pPr>
      <w:r>
        <w:rPr>
          <w:b/>
          <w:bCs/>
          <w:color w:val="1F3864"/>
          <w:sz w:val="24"/>
          <w:szCs w:val="24"/>
        </w:rPr>
        <w:t xml:space="preserve">11.3 Quota, Fallback &amp; Routing</w:t>
      </w:r>
    </w:p>
    <w:p>
      <w:pPr>
        <w:spacing w:after="160" w:line="276"/>
        <w:jc w:val="both"/>
      </w:pPr>
      <w:r>
        <w:rPr>
          <w:sz w:val="21"/>
          <w:szCs w:val="21"/>
        </w:rPr>
        <w:t xml:space="preserve">The LLM Gateway continuously tracks token usage against each key's known/configured quota. When a key approaches or hits exhaustion or returns a rate-limit error:</w:t>
      </w:r>
    </w:p>
    <w:p>
      <w:pPr>
        <w:pStyle w:val="ListParagraph"/>
        <w:numPr>
          <w:ilvl w:val="0"/>
          <w:numId w:val="1"/>
        </w:numPr>
        <w:spacing w:after="90"/>
      </w:pPr>
      <w:r>
        <w:rPr>
          <w:sz w:val="21"/>
          <w:szCs w:val="21"/>
        </w:rPr>
        <w:t xml:space="preserve">The Gateway automatically routes the next request to the next configured key/provider in that agent's fallback chain (no agent code changes required).</w:t>
      </w:r>
    </w:p>
    <w:p>
      <w:pPr>
        <w:pStyle w:val="ListParagraph"/>
        <w:numPr>
          <w:ilvl w:val="0"/>
          <w:numId w:val="1"/>
        </w:numPr>
        <w:spacing w:after="90"/>
      </w:pPr>
      <w:r>
        <w:rPr>
          <w:sz w:val="21"/>
          <w:szCs w:val="21"/>
        </w:rPr>
        <w:t xml:space="preserve">The exhausted key is marked disabled in the UI with a clear notification ("This API key has been exhausted, please update it") rather than silently failing agent runs.</w:t>
      </w:r>
    </w:p>
    <w:p>
      <w:pPr>
        <w:pStyle w:val="ListParagraph"/>
        <w:numPr>
          <w:ilvl w:val="0"/>
          <w:numId w:val="1"/>
        </w:numPr>
        <w:spacing w:after="90"/>
      </w:pPr>
      <w:r>
        <w:rPr>
          <w:sz w:val="21"/>
          <w:szCs w:val="21"/>
        </w:rPr>
        <w:t xml:space="preserve">Once a replacement/refreshed key is added, the Gateway resumes normal routing automatically.</w:t>
      </w:r>
    </w:p>
    <w:p>
      <w:pPr>
        <w:pStyle w:val="Heading2"/>
        <w:spacing w:after="160" w:before="320"/>
      </w:pPr>
      <w:r>
        <w:rPr>
          <w:b/>
          <w:bCs/>
          <w:color w:val="1F3864"/>
          <w:sz w:val="24"/>
          <w:szCs w:val="24"/>
        </w:rPr>
        <w:t xml:space="preserve">11.4 Cost Tier Selection</w:t>
      </w:r>
    </w:p>
    <w:p>
      <w:pPr>
        <w:spacing w:after="160" w:line="276"/>
        <w:jc w:val="both"/>
      </w:pPr>
      <w:r>
        <w:rPr>
          <w:sz w:val="21"/>
          <w:szCs w:val="21"/>
        </w:rPr>
        <w:t xml:space="preserve">Customers choose, per agent or globally, whether to run on cheaper/faster models or premium/more-capable models — the Gateway exposes this as a simple tier selector, and the agent manifest's llm_profile determines which specific model within that tier is actually called, so switching a customer's preference doesn't require touching agent logic.</w:t>
      </w:r>
    </w:p>
    <w:p>
      <w:r>
        <w:br w:type="page"/>
      </w:r>
    </w:p>
    <w:p>
      <w:pPr>
        <w:pStyle w:val="Heading1"/>
        <w:pBdr>
          <w:bottom w:val="single" w:color="0E7C7B" w:sz="8" w:space="4"/>
        </w:pBdr>
        <w:spacing w:after="240" w:before="480"/>
      </w:pPr>
      <w:r>
        <w:rPr>
          <w:b/>
          <w:bCs/>
          <w:color w:val="1F3864"/>
          <w:sz w:val="30"/>
          <w:szCs w:val="30"/>
        </w:rPr>
        <w:t xml:space="preserve">12. Security &amp; Compliance</w:t>
      </w:r>
    </w:p>
    <w:p>
      <w:pPr>
        <w:pStyle w:val="Heading2"/>
        <w:spacing w:after="160" w:before="320"/>
      </w:pPr>
      <w:r>
        <w:rPr>
          <w:b/>
          <w:bCs/>
          <w:color w:val="1F3864"/>
          <w:sz w:val="24"/>
          <w:szCs w:val="24"/>
        </w:rPr>
        <w:t xml:space="preserve">12.1 Credential &amp; Data Security</w:t>
      </w:r>
    </w:p>
    <w:p>
      <w:pPr>
        <w:pStyle w:val="ListParagraph"/>
        <w:numPr>
          <w:ilvl w:val="0"/>
          <w:numId w:val="1"/>
        </w:numPr>
        <w:spacing w:after="90"/>
      </w:pPr>
      <w:r>
        <w:rPr>
          <w:sz w:val="21"/>
          <w:szCs w:val="21"/>
        </w:rPr>
        <w:t xml:space="preserve">All customer LLM API keys, MES/SCADA connection credentials and other secrets are stored using the envelope-encryption pattern in Section 11.2 — never plaintext, never logged.</w:t>
      </w:r>
    </w:p>
    <w:p>
      <w:pPr>
        <w:pStyle w:val="ListParagraph"/>
        <w:numPr>
          <w:ilvl w:val="0"/>
          <w:numId w:val="1"/>
        </w:numPr>
        <w:spacing w:after="90"/>
      </w:pPr>
      <w:r>
        <w:rPr>
          <w:sz w:val="21"/>
          <w:szCs w:val="21"/>
        </w:rPr>
        <w:t xml:space="preserve">Data in transit is TLS 1.2+ everywhere, including edge-to-cloud links in the hybrid deployment model.</w:t>
      </w:r>
    </w:p>
    <w:p>
      <w:pPr>
        <w:pStyle w:val="ListParagraph"/>
        <w:numPr>
          <w:ilvl w:val="0"/>
          <w:numId w:val="1"/>
        </w:numPr>
        <w:spacing w:after="90"/>
      </w:pPr>
      <w:r>
        <w:rPr>
          <w:sz w:val="21"/>
          <w:szCs w:val="21"/>
        </w:rPr>
        <w:t xml:space="preserve">Scoped access only: DB connections (Approach C) are limited to an explicitly agreed table/view allow-list; API connections (Approach B) use least-privilege scopes/tokens.</w:t>
      </w:r>
    </w:p>
    <w:p>
      <w:pPr>
        <w:pStyle w:val="Heading2"/>
        <w:spacing w:after="160" w:before="320"/>
      </w:pPr>
      <w:r>
        <w:rPr>
          <w:b/>
          <w:bCs/>
          <w:color w:val="1F3864"/>
          <w:sz w:val="24"/>
          <w:szCs w:val="24"/>
        </w:rPr>
        <w:t xml:space="preserve">12.2 RBAC &amp; Governance</w:t>
      </w:r>
    </w:p>
    <w:p>
      <w:pPr>
        <w:spacing w:after="160" w:line="276"/>
        <w:jc w:val="both"/>
      </w:pPr>
      <w:r>
        <w:rPr>
          <w:sz w:val="21"/>
          <w:szCs w:val="21"/>
        </w:rPr>
        <w:t xml:space="preserve">Role-based access control mirrors the roles surfaced in the internal mock-up (Manufacturing Head, Digital &amp; IT Head, Plant Digital Head, HSE Officer, Operations/Plant Head), each with a distinct permission profile: full config/model-governance/billing access is restricted to Digital &amp; IT Head; plant-level roles get configure-within-scope or read-only/export access. Group-based role mapping (e.g. via SSO/SAML/Active Directory) avoids manual per-user provisioning per plant.</w:t>
      </w:r>
    </w:p>
    <w:p>
      <w:pPr>
        <w:pStyle w:val="Heading2"/>
        <w:spacing w:after="160" w:before="320"/>
      </w:pPr>
      <w:r>
        <w:rPr>
          <w:b/>
          <w:bCs/>
          <w:color w:val="1F3864"/>
          <w:sz w:val="24"/>
          <w:szCs w:val="24"/>
        </w:rPr>
        <w:t xml:space="preserve">12.3 OT Cybersecurity Monitoring</w:t>
      </w:r>
    </w:p>
    <w:p>
      <w:pPr>
        <w:spacing w:after="160" w:line="276"/>
        <w:jc w:val="both"/>
      </w:pPr>
      <w:r>
        <w:rPr>
          <w:sz w:val="21"/>
          <w:szCs w:val="21"/>
        </w:rPr>
        <w:t xml:space="preserve">Because this platform touches operational-technology networks (SCADA/PLC/industrial devices), it must itself be part of the plant's threat surface awareness rather than a blind spot. The OT Cyber Anomaly Detection agent (Section 8.2, Pillar 4) doubles as a security control: it baselines normal PLC/SCADA traffic and flags anomalous commands, and the platform's own connectivity layer is itself monitored (connection attempts, credential use, unusual query patterns) with the same alerting pipeline.</w:t>
      </w:r>
    </w:p>
    <w:p>
      <w:pPr>
        <w:pStyle w:val="Heading2"/>
        <w:spacing w:after="160" w:before="320"/>
      </w:pPr>
      <w:r>
        <w:rPr>
          <w:b/>
          <w:bCs/>
          <w:color w:val="1F3864"/>
          <w:sz w:val="24"/>
          <w:szCs w:val="24"/>
        </w:rPr>
        <w:t xml:space="preserve">12.4 Audit Trail</w:t>
      </w:r>
    </w:p>
    <w:p>
      <w:pPr>
        <w:spacing w:after="160" w:line="276"/>
        <w:jc w:val="both"/>
      </w:pPr>
      <w:r>
        <w:rPr>
          <w:sz w:val="21"/>
          <w:szCs w:val="21"/>
        </w:rPr>
        <w:t xml:space="preserve">Every agent action, every human approval/rejection, every configuration change and every credential access is written to an append-only audit log (actor, timestamp, before/after state, justification where applicable). This satisfies both internal governance needs and typical customer compliance requirements (ISO 27001-style change control).</w:t>
      </w:r>
    </w:p>
    <w:p>
      <w:pPr>
        <w:pStyle w:val="Heading1"/>
        <w:pBdr>
          <w:bottom w:val="single" w:color="0E7C7B" w:sz="8" w:space="4"/>
        </w:pBdr>
        <w:spacing w:after="240" w:before="480"/>
      </w:pPr>
      <w:r>
        <w:rPr>
          <w:b/>
          <w:bCs/>
          <w:color w:val="1F3864"/>
          <w:sz w:val="30"/>
          <w:szCs w:val="30"/>
        </w:rPr>
        <w:t xml:space="preserve">13. Cost Management &amp; Usage Monitoring</w:t>
      </w:r>
    </w:p>
    <w:p>
      <w:pPr>
        <w:spacing w:after="160" w:line="276"/>
        <w:jc w:val="both"/>
      </w:pPr>
      <w:r>
        <w:rPr>
          <w:sz w:val="21"/>
          <w:szCs w:val="21"/>
        </w:rPr>
        <w:t xml:space="preserve">Cost visibility was called out as a first-class requirement — a customer must be able to see what its cloud/LLM usage is actually costing, per key, per agent, per plant.</w:t>
      </w:r>
    </w:p>
    <w:p>
      <w:pPr>
        <w:pStyle w:val="ListParagraph"/>
        <w:numPr>
          <w:ilvl w:val="0"/>
          <w:numId w:val="1"/>
        </w:numPr>
        <w:spacing w:after="90"/>
      </w:pPr>
      <w:r>
        <w:rPr>
          <w:sz w:val="21"/>
          <w:szCs w:val="21"/>
        </w:rPr>
        <w:t xml:space="preserve">Every LLM Gateway call is logged with: agent_id, key_id, provider, model, input/output token counts, computed cost (using each provider's current published pricing table, refreshed periodically), and latency.</w:t>
      </w:r>
    </w:p>
    <w:p>
      <w:pPr>
        <w:pStyle w:val="ListParagraph"/>
        <w:numPr>
          <w:ilvl w:val="0"/>
          <w:numId w:val="1"/>
        </w:numPr>
        <w:spacing w:after="90"/>
      </w:pPr>
      <w:r>
        <w:rPr>
          <w:sz w:val="21"/>
          <w:szCs w:val="21"/>
        </w:rPr>
        <w:t xml:space="preserve">The Admin Console exposes a cost dashboard: cumulative spend, spend by agent/pillar, spend by plant, and projected month-end spend at current run-rate — the same pattern as the "Cumulative ROI (YTD)" and "Revenue YTD" widgets in the internal mock-up, mirrored for cost instead of only value delivered.</w:t>
      </w:r>
    </w:p>
    <w:p>
      <w:pPr>
        <w:pStyle w:val="ListParagraph"/>
        <w:numPr>
          <w:ilvl w:val="0"/>
          <w:numId w:val="1"/>
        </w:numPr>
        <w:spacing w:after="90"/>
      </w:pPr>
      <w:r>
        <w:rPr>
          <w:sz w:val="21"/>
          <w:szCs w:val="21"/>
        </w:rPr>
        <w:t xml:space="preserve">Optional budget alerts/caps per key or per agent, so a runaway agent loop cannot silently exhaust a customer's LLM budget.</w:t>
      </w:r>
    </w:p>
    <w:p>
      <w:r>
        <w:br w:type="page"/>
      </w:r>
    </w:p>
    <w:p>
      <w:pPr>
        <w:pStyle w:val="Heading1"/>
        <w:pBdr>
          <w:bottom w:val="single" w:color="0E7C7B" w:sz="8" w:space="4"/>
        </w:pBdr>
        <w:spacing w:after="240" w:before="480"/>
      </w:pPr>
      <w:r>
        <w:rPr>
          <w:b/>
          <w:bCs/>
          <w:color w:val="1F3864"/>
          <w:sz w:val="30"/>
          <w:szCs w:val="30"/>
        </w:rPr>
        <w:t xml:space="preserve">14. Notification System</w:t>
      </w:r>
    </w:p>
    <w:p>
      <w:pPr>
        <w:spacing w:after="160" w:line="276"/>
        <w:jc w:val="both"/>
      </w:pPr>
      <w:r>
        <w:rPr>
          <w:sz w:val="21"/>
          <w:szCs w:val="21"/>
        </w:rPr>
        <w:t xml:space="preserve">Notifications are triggered from three sources: (a) agent-generated alerts (safety, machine anomaly, invoice mismatch, etc.), (b) approval-gate requests awaiting a human decision, and (c) platform/ops events (API key exhausted, agent auto-disabled after a schema change, connection lost).</w:t>
      </w:r>
    </w:p>
    <w:p>
      <w:pPr>
        <w:pStyle w:val="Heading2"/>
        <w:spacing w:after="160" w:before="320"/>
      </w:pPr>
      <w:r>
        <w:rPr>
          <w:b/>
          <w:bCs/>
          <w:color w:val="1F3864"/>
          <w:sz w:val="24"/>
          <w:szCs w:val="24"/>
        </w:rPr>
        <w:t xml:space="preserve">14.1 Design</w:t>
      </w:r>
    </w:p>
    <w:p>
      <w:pPr>
        <w:pStyle w:val="ListParagraph"/>
        <w:numPr>
          <w:ilvl w:val="0"/>
          <w:numId w:val="1"/>
        </w:numPr>
        <w:spacing w:after="90"/>
      </w:pPr>
      <w:r>
        <w:rPr>
          <w:sz w:val="21"/>
          <w:szCs w:val="21"/>
        </w:rPr>
        <w:t xml:space="preserve">A NotificationRule engine (conceptually aligned with the AlertMaster/NotificationRule/PriorityMaster tables already found in the reference MES schema, Section 7) lets admins define who gets notified, through which channel, at what severity, with what escalation timer if unacknowledged.</w:t>
      </w:r>
    </w:p>
    <w:p>
      <w:pPr>
        <w:pStyle w:val="ListParagraph"/>
        <w:numPr>
          <w:ilvl w:val="0"/>
          <w:numId w:val="1"/>
        </w:numPr>
        <w:spacing w:after="90"/>
      </w:pPr>
      <w:r>
        <w:rPr>
          <w:sz w:val="21"/>
          <w:szCs w:val="21"/>
        </w:rPr>
        <w:t xml:space="preserve">Channels: in-portal notification center, email, and optionally SMS/WhatsApp/Slack/Teams webhook for high-severity/safety alerts.</w:t>
      </w:r>
    </w:p>
    <w:p>
      <w:pPr>
        <w:pStyle w:val="ListParagraph"/>
        <w:numPr>
          <w:ilvl w:val="0"/>
          <w:numId w:val="1"/>
        </w:numPr>
        <w:spacing w:after="90"/>
      </w:pPr>
      <w:r>
        <w:rPr>
          <w:sz w:val="21"/>
          <w:szCs w:val="21"/>
        </w:rPr>
        <w:t xml:space="preserve">No-code rule builder (matching the mock-up's "Alert &amp; Escalation Rules" panel) so plant admins can configure escalation without a developer.</w:t>
      </w:r>
    </w:p>
    <w:p>
      <w:pPr>
        <w:pStyle w:val="Heading1"/>
        <w:pBdr>
          <w:bottom w:val="single" w:color="0E7C7B" w:sz="8" w:space="4"/>
        </w:pBdr>
        <w:spacing w:after="240" w:before="480"/>
      </w:pPr>
      <w:r>
        <w:rPr>
          <w:b/>
          <w:bCs/>
          <w:color w:val="1F3864"/>
          <w:sz w:val="30"/>
          <w:szCs w:val="30"/>
        </w:rPr>
        <w:t xml:space="preserve">15. Development Practices</w:t>
      </w:r>
    </w:p>
    <w:p>
      <w:pPr>
        <w:pStyle w:val="Heading2"/>
        <w:spacing w:after="160" w:before="320"/>
      </w:pPr>
      <w:r>
        <w:rPr>
          <w:b/>
          <w:bCs/>
          <w:color w:val="1F3864"/>
          <w:sz w:val="24"/>
          <w:szCs w:val="24"/>
        </w:rPr>
        <w:t xml:space="preserve">15.1 Agent Instruction Visibility — Dev vs. Production</w:t>
      </w:r>
    </w:p>
    <w:p>
      <w:pPr>
        <w:spacing w:after="160" w:line="276"/>
        <w:jc w:val="both"/>
      </w:pPr>
      <w:r>
        <w:rPr>
          <w:sz w:val="21"/>
          <w:szCs w:val="21"/>
        </w:rPr>
        <w:t xml:space="preserve">During development, every agent's system prompt / instruction set and its full reasoning trace must be visible in the UI (or in LangSmith) so developers can verify the pipeline is behaving as intended. This is controlled by a single environment-level flag (e.g. AGENT_DEBUG_VISIBLE=true) rather than scattered per-agent flags, so the whole platform can be switched from "show reasoning" to "hide reasoning" with one config change when promoting to production — satisfying the requirement to comment/hide instructions only once the system is verified and moved to production scale.</w:t>
      </w:r>
    </w:p>
    <w:p>
      <w:pPr>
        <w:pStyle w:val="Heading2"/>
        <w:spacing w:after="160" w:before="320"/>
      </w:pPr>
      <w:r>
        <w:rPr>
          <w:b/>
          <w:bCs/>
          <w:color w:val="1F3864"/>
          <w:sz w:val="24"/>
          <w:szCs w:val="24"/>
        </w:rPr>
        <w:t xml:space="preserve">15.2 Coding &amp; Release Standards</w:t>
      </w:r>
    </w:p>
    <w:p>
      <w:pPr>
        <w:pStyle w:val="ListParagraph"/>
        <w:numPr>
          <w:ilvl w:val="0"/>
          <w:numId w:val="1"/>
        </w:numPr>
        <w:spacing w:after="90"/>
      </w:pPr>
      <w:r>
        <w:rPr>
          <w:sz w:val="21"/>
          <w:szCs w:val="21"/>
        </w:rPr>
        <w:t xml:space="preserve">Every agent manifest and its adapter mapping is version-controlled; changes go through code review even though they are declarative config, not just code.</w:t>
      </w:r>
    </w:p>
    <w:p>
      <w:pPr>
        <w:pStyle w:val="ListParagraph"/>
        <w:numPr>
          <w:ilvl w:val="0"/>
          <w:numId w:val="1"/>
        </w:numPr>
        <w:spacing w:after="90"/>
      </w:pPr>
      <w:r>
        <w:rPr>
          <w:sz w:val="21"/>
          <w:szCs w:val="21"/>
        </w:rPr>
        <w:t xml:space="preserve">Adapters for a new MES/SCADA version are added as new, isolated adapter modules — existing adapters are never edited in place, to avoid regressing an already-onboarded customer.</w:t>
      </w:r>
    </w:p>
    <w:p>
      <w:pPr>
        <w:pStyle w:val="ListParagraph"/>
        <w:numPr>
          <w:ilvl w:val="0"/>
          <w:numId w:val="1"/>
        </w:numPr>
        <w:spacing w:after="90"/>
      </w:pPr>
      <w:r>
        <w:rPr>
          <w:sz w:val="21"/>
          <w:szCs w:val="21"/>
        </w:rPr>
        <w:t xml:space="preserve">Automated regression tests run each agent manifest against a set of mocked Canonical Data Model fixtures before any deploy, independent of any live customer connection.</w:t>
      </w:r>
    </w:p>
    <w:p>
      <w:pPr>
        <w:pStyle w:val="Heading1"/>
        <w:pBdr>
          <w:bottom w:val="single" w:color="0E7C7B" w:sz="8" w:space="4"/>
        </w:pBdr>
        <w:spacing w:after="240" w:before="480"/>
      </w:pPr>
      <w:r>
        <w:rPr>
          <w:b/>
          <w:bCs/>
          <w:color w:val="1F3864"/>
          <w:sz w:val="30"/>
          <w:szCs w:val="30"/>
        </w:rPr>
        <w:t xml:space="preserve">16. Non-Functional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Category</w:t>
            </w:r>
          </w:p>
        </w:tc>
        <w:tc>
          <w:tcPr>
            <w:tcW w:type="dxa" w:w="7100"/>
            <w:shd w:fill="1F3864" w:val="clear"/>
            <w:tcMar>
              <w:top w:type="dxa" w:w="80"/>
              <w:left w:type="dxa" w:w="100"/>
              <w:bottom w:type="dxa" w:w="80"/>
              <w:right w:type="dxa" w:w="100"/>
            </w:tcMar>
            <w:vAlign w:val="center"/>
          </w:tcPr>
          <w:p>
            <w:pPr>
              <w:jc w:val="left"/>
            </w:pPr>
            <w:r>
              <w:rPr>
                <w:b/>
                <w:bCs/>
                <w:color w:val="FFFFFF"/>
                <w:sz w:val="19"/>
                <w:szCs w:val="19"/>
              </w:rPr>
              <w:t xml:space="preserve">Target</w:t>
            </w:r>
          </w:p>
        </w:tc>
      </w:tr>
      <w:tr>
        <w:tc>
          <w:tcPr>
            <w:tcW w:type="dxa" w:w="24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Scalability</w:t>
            </w:r>
          </w:p>
        </w:tc>
        <w:tc>
          <w:tcPr>
            <w:tcW w:type="dxa" w:w="71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Support 6+ plants per customer tenant, hundreds of machines/IoT points, and horizontal scaling of the agent runtime via queue-based worker pools.</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Availability</w:t>
            </w:r>
          </w:p>
        </w:tc>
        <w:tc>
          <w:tcPr>
            <w:tcW w:type="dxa" w:w="7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99.7%+ uptime target for the Agentic AI Layer and Connectivity Layer (cloud); local/edge deployments target continuous operation with graceful offline queuing.</w:t>
            </w:r>
          </w:p>
        </w:tc>
      </w:tr>
      <w:tr>
        <w:tc>
          <w:tcPr>
            <w:tcW w:type="dxa" w:w="24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Latency</w:t>
            </w:r>
          </w:p>
        </w:tc>
        <w:tc>
          <w:tcPr>
            <w:tcW w:type="dxa" w:w="71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Sub-2-second response for interactive Knowledge Assistant queries; scheduled/background agents are not latency-critical but must complete within their configured cadence.</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Observability</w:t>
            </w:r>
          </w:p>
        </w:tc>
        <w:tc>
          <w:tcPr>
            <w:tcW w:type="dxa" w:w="7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Every agent run traced end-to-end (LangSmith) with cost, latency and outcome recorded.</w:t>
            </w:r>
          </w:p>
        </w:tc>
      </w:tr>
      <w:tr>
        <w:tc>
          <w:tcPr>
            <w:tcW w:type="dxa" w:w="24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Data retention</w:t>
            </w:r>
          </w:p>
        </w:tc>
        <w:tc>
          <w:tcPr>
            <w:tcW w:type="dxa" w:w="71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Configurable per tenant; platform stores derived/materialized data and agent outputs, not a full mirror of customer operational data.</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Extensibility</w:t>
            </w:r>
          </w:p>
        </w:tc>
        <w:tc>
          <w:tcPr>
            <w:tcW w:type="dxa" w:w="7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New use cases ship as new agent manifests; new integrations ship as new adapters — neither requires touching the orchestration core.</w:t>
            </w:r>
          </w:p>
        </w:tc>
      </w:tr>
    </w:tbl>
    <w:p>
      <w:r>
        <w:br w:type="page"/>
      </w:r>
    </w:p>
    <w:p>
      <w:pPr>
        <w:pStyle w:val="Heading1"/>
        <w:pBdr>
          <w:bottom w:val="single" w:color="0E7C7B" w:sz="8" w:space="4"/>
        </w:pBdr>
        <w:spacing w:after="240" w:before="480"/>
      </w:pPr>
      <w:r>
        <w:rPr>
          <w:b/>
          <w:bCs/>
          <w:color w:val="1F3864"/>
          <w:sz w:val="30"/>
          <w:szCs w:val="30"/>
        </w:rPr>
        <w:t xml:space="preserve">17. Phased Roadmap</w:t>
      </w:r>
    </w:p>
    <w:p>
      <w:pPr>
        <w:pStyle w:val="Heading3"/>
        <w:spacing w:after="120" w:before="220"/>
      </w:pPr>
      <w:r>
        <w:rPr>
          <w:b/>
          <w:bCs/>
          <w:color w:val="0E7C7B"/>
          <w:sz w:val="21"/>
          <w:szCs w:val="21"/>
        </w:rPr>
        <w:t xml:space="preserve">Phase 1 — Foundation (Weeks 1–6)</w:t>
      </w:r>
    </w:p>
    <w:p>
      <w:pPr>
        <w:pStyle w:val="ListParagraph"/>
        <w:numPr>
          <w:ilvl w:val="0"/>
          <w:numId w:val="1"/>
        </w:numPr>
        <w:spacing w:after="90"/>
      </w:pPr>
      <w:r>
        <w:rPr>
          <w:sz w:val="21"/>
          <w:szCs w:val="21"/>
        </w:rPr>
        <w:t xml:space="preserve">Schema Registry + Capability Resolver; Canonical Data Model v1 covering Production, Work Order, Machine, Inventory domains.</w:t>
      </w:r>
    </w:p>
    <w:p>
      <w:pPr>
        <w:pStyle w:val="ListParagraph"/>
        <w:numPr>
          <w:ilvl w:val="0"/>
          <w:numId w:val="1"/>
        </w:numPr>
        <w:spacing w:after="90"/>
      </w:pPr>
      <w:r>
        <w:rPr>
          <w:sz w:val="21"/>
          <w:szCs w:val="21"/>
        </w:rPr>
        <w:t xml:space="preserve">Platform DB (Postgres), encrypted credential vault, LLM Gateway with 2 providers wired in.</w:t>
      </w:r>
    </w:p>
    <w:p>
      <w:pPr>
        <w:pStyle w:val="ListParagraph"/>
        <w:numPr>
          <w:ilvl w:val="0"/>
          <w:numId w:val="1"/>
        </w:numPr>
        <w:spacing w:after="90"/>
      </w:pPr>
      <w:r>
        <w:rPr>
          <w:sz w:val="21"/>
          <w:szCs w:val="21"/>
        </w:rPr>
        <w:t xml:space="preserve">First adapter built and validated against the supplied reference MES schema.</w:t>
      </w:r>
    </w:p>
    <w:p>
      <w:pPr>
        <w:pStyle w:val="Heading3"/>
        <w:spacing w:after="120" w:before="220"/>
      </w:pPr>
      <w:r>
        <w:rPr>
          <w:b/>
          <w:bCs/>
          <w:color w:val="0E7C7B"/>
          <w:sz w:val="21"/>
          <w:szCs w:val="21"/>
        </w:rPr>
        <w:t xml:space="preserve">Phase 2 — Core Agent Pipelines (Weeks 7–14)</w:t>
      </w:r>
    </w:p>
    <w:p>
      <w:pPr>
        <w:pStyle w:val="ListParagraph"/>
        <w:numPr>
          <w:ilvl w:val="0"/>
          <w:numId w:val="1"/>
        </w:numPr>
        <w:spacing w:after="90"/>
      </w:pPr>
      <w:r>
        <w:rPr>
          <w:sz w:val="21"/>
          <w:szCs w:val="21"/>
        </w:rPr>
        <w:t xml:space="preserve">LangGraph orchestration runtime; 4–6 agents live: Daily Operations Reporting, Knowledge Assistant, IoT Asset Monitoring, Production Orchestration.</w:t>
      </w:r>
    </w:p>
    <w:p>
      <w:pPr>
        <w:pStyle w:val="ListParagraph"/>
        <w:numPr>
          <w:ilvl w:val="0"/>
          <w:numId w:val="1"/>
        </w:numPr>
        <w:spacing w:after="90"/>
      </w:pPr>
      <w:r>
        <w:rPr>
          <w:sz w:val="21"/>
          <w:szCs w:val="21"/>
        </w:rPr>
        <w:t xml:space="preserve">Human-in-the-loop approval UI; Use-Case Library UI with capability-gated enable/disable.</w:t>
      </w:r>
    </w:p>
    <w:p>
      <w:pPr>
        <w:pStyle w:val="Heading3"/>
        <w:spacing w:after="120" w:before="220"/>
      </w:pPr>
      <w:r>
        <w:rPr>
          <w:b/>
          <w:bCs/>
          <w:color w:val="0E7C7B"/>
          <w:sz w:val="21"/>
          <w:szCs w:val="21"/>
        </w:rPr>
        <w:t xml:space="preserve">Phase 3 — Governance &amp; Scale (Weeks 15–20)</w:t>
      </w:r>
    </w:p>
    <w:p>
      <w:pPr>
        <w:pStyle w:val="ListParagraph"/>
        <w:numPr>
          <w:ilvl w:val="0"/>
          <w:numId w:val="1"/>
        </w:numPr>
        <w:spacing w:after="90"/>
      </w:pPr>
      <w:r>
        <w:rPr>
          <w:sz w:val="21"/>
          <w:szCs w:val="21"/>
        </w:rPr>
        <w:t xml:space="preserve">RBAC + SSO/SAML; audit trail; cost dashboard; notification rule engine.</w:t>
      </w:r>
    </w:p>
    <w:p>
      <w:pPr>
        <w:pStyle w:val="ListParagraph"/>
        <w:numPr>
          <w:ilvl w:val="0"/>
          <w:numId w:val="1"/>
        </w:numPr>
        <w:spacing w:after="90"/>
      </w:pPr>
      <w:r>
        <w:rPr>
          <w:sz w:val="21"/>
          <w:szCs w:val="21"/>
        </w:rPr>
        <w:t xml:space="preserve">Second adapter (different MES/SCADA vendor) built to validate the version-agnostic design end-to-end.</w:t>
      </w:r>
    </w:p>
    <w:p>
      <w:pPr>
        <w:pStyle w:val="Heading3"/>
        <w:spacing w:after="120" w:before="220"/>
      </w:pPr>
      <w:r>
        <w:rPr>
          <w:b/>
          <w:bCs/>
          <w:color w:val="0E7C7B"/>
          <w:sz w:val="21"/>
          <w:szCs w:val="21"/>
        </w:rPr>
        <w:t xml:space="preserve">Phase 4 — Advanced Agents &amp; Edge (Weeks 21+)</w:t>
      </w:r>
    </w:p>
    <w:p>
      <w:pPr>
        <w:pStyle w:val="ListParagraph"/>
        <w:numPr>
          <w:ilvl w:val="0"/>
          <w:numId w:val="1"/>
        </w:numPr>
        <w:spacing w:after="90"/>
      </w:pPr>
      <w:r>
        <w:rPr>
          <w:sz w:val="21"/>
          <w:szCs w:val="21"/>
        </w:rPr>
        <w:t xml:space="preserve">Computer Vision Safety Agent, OT Cyber Anomaly Detection, Digital Twin simulation, Commercial Forecast Intelligence.</w:t>
      </w:r>
    </w:p>
    <w:p>
      <w:pPr>
        <w:pStyle w:val="ListParagraph"/>
        <w:numPr>
          <w:ilvl w:val="0"/>
          <w:numId w:val="1"/>
        </w:numPr>
        <w:spacing w:after="90"/>
      </w:pPr>
      <w:r>
        <w:rPr>
          <w:sz w:val="21"/>
          <w:szCs w:val="21"/>
        </w:rPr>
        <w:t xml:space="preserve">Edge-hybrid deployment packaging; multi-plant Command Centre rollout.</w:t>
      </w:r>
    </w:p>
    <w:p>
      <w:pPr>
        <w:pStyle w:val="Heading1"/>
        <w:pBdr>
          <w:bottom w:val="single" w:color="0E7C7B" w:sz="8" w:space="4"/>
        </w:pBdr>
        <w:spacing w:after="240" w:before="480"/>
      </w:pPr>
      <w:r>
        <w:rPr>
          <w:b/>
          <w:bCs/>
          <w:color w:val="1F3864"/>
          <w:sz w:val="30"/>
          <w:szCs w:val="30"/>
        </w:rPr>
        <w:t xml:space="preserve">18. Glossary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19"/>
                <w:szCs w:val="19"/>
              </w:rPr>
              <w:t xml:space="preserve">Term</w:t>
            </w:r>
          </w:p>
        </w:tc>
        <w:tc>
          <w:tcPr>
            <w:tcW w:type="dxa" w:w="6900"/>
            <w:shd w:fill="1F3864" w:val="clear"/>
            <w:tcMar>
              <w:top w:type="dxa" w:w="80"/>
              <w:left w:type="dxa" w:w="100"/>
              <w:bottom w:type="dxa" w:w="80"/>
              <w:right w:type="dxa" w:w="100"/>
            </w:tcMar>
            <w:vAlign w:val="center"/>
          </w:tcPr>
          <w:p>
            <w:pPr>
              <w:jc w:val="left"/>
            </w:pPr>
            <w:r>
              <w:rPr>
                <w:b/>
                <w:bCs/>
                <w:color w:val="FFFFFF"/>
                <w:sz w:val="19"/>
                <w:szCs w:val="19"/>
              </w:rPr>
              <w:t xml:space="preserve">Definition</w:t>
            </w:r>
          </w:p>
        </w:tc>
      </w:tr>
      <w:tr>
        <w:tc>
          <w:tcPr>
            <w:tcW w:type="dxa" w:w="26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Canonical Data Model</w:t>
            </w:r>
          </w:p>
        </w:tc>
        <w:tc>
          <w:tcPr>
            <w:tcW w:type="dxa" w:w="69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IIIoT's internal, vendor-neutral representation of manufacturing concepts (work order, machine, inventory, etc.) that all agents and UI components read/write against.</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Adapter</w:t>
            </w:r>
          </w:p>
        </w:tc>
        <w:tc>
          <w:tcPr>
            <w:tcW w:type="dxa" w:w="6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 per-vendor/per-version module that maps a customer's real schema/API to the Canonical Data Model.</w:t>
            </w:r>
          </w:p>
        </w:tc>
      </w:tr>
      <w:tr>
        <w:tc>
          <w:tcPr>
            <w:tcW w:type="dxa" w:w="26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Capability Matrix</w:t>
            </w:r>
          </w:p>
        </w:tc>
        <w:tc>
          <w:tcPr>
            <w:tcW w:type="dxa" w:w="69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The live, per-connection record of which canonical fields are available, used to gate which agents/use-cases are shown.</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Agent Manifest</w:t>
            </w:r>
          </w:p>
        </w:tc>
        <w:tc>
          <w:tcPr>
            <w:tcW w:type="dxa" w:w="6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Declarative definition of an agent: required fields, tools, approval policy, schedule, LLM profile.</w:t>
            </w:r>
          </w:p>
        </w:tc>
      </w:tr>
      <w:tr>
        <w:tc>
          <w:tcPr>
            <w:tcW w:type="dxa" w:w="26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LLM Gateway</w:t>
            </w:r>
          </w:p>
        </w:tc>
        <w:tc>
          <w:tcPr>
            <w:tcW w:type="dxa" w:w="69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Single internal API that routes LLM calls across providers/keys with fallback, quota tracking and cost logging.</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Human-in-the-loop (HITL)</w:t>
            </w:r>
          </w:p>
        </w:tc>
        <w:tc>
          <w:tcPr>
            <w:tcW w:type="dxa" w:w="6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 configurable checkpoint where a human must approve/reject an agent's proposed action before it executes.</w:t>
            </w:r>
          </w:p>
        </w:tc>
      </w:tr>
      <w:tr>
        <w:tc>
          <w:tcPr>
            <w:tcW w:type="dxa" w:w="26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Edge-Hybrid</w:t>
            </w:r>
          </w:p>
        </w:tc>
        <w:tc>
          <w:tcPr>
            <w:tcW w:type="dxa" w:w="6900"/>
            <w:shd w:fill="F2F6F6" w:val="clear"/>
            <w:tcMar>
              <w:top w:type="dxa" w:w="80"/>
              <w:left w:type="dxa" w:w="100"/>
              <w:bottom w:type="dxa" w:w="80"/>
              <w:right w:type="dxa" w:w="100"/>
            </w:tcMar>
            <w:vAlign w:val="center"/>
          </w:tcPr>
          <w:p>
            <w:pPr>
              <w:jc w:val="left"/>
            </w:pPr>
            <w:r>
              <w:rPr>
                <w:b w:val="false"/>
                <w:bCs w:val="false"/>
                <w:color w:val="000000"/>
                <w:sz w:val="19"/>
                <w:szCs w:val="19"/>
              </w:rPr>
              <w:t xml:space="preserve">Deployment mode splitting latency-sensitive agents (edge) from heavier agents/UI (cloud).</w:t>
            </w:r>
          </w:p>
        </w:tc>
      </w:tr>
    </w:tbl>
    <w:p>
      <w:pPr>
        <w:spacing w:after="200"/>
      </w:pPr>
    </w:p>
    <w:p>
      <w:pPr>
        <w:spacing w:after="160" w:line="276"/>
        <w:jc w:val="both"/>
      </w:pPr>
      <w:r>
        <w:rPr>
          <w:i/>
          <w:iCs/>
          <w:color w:val="595959"/>
          <w:sz w:val="18"/>
          <w:szCs w:val="18"/>
        </w:rPr>
        <w:t xml:space="preserve">— End of Document —</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95959"/>
        <w:sz w:val="16"/>
        <w:szCs w:val="16"/>
      </w:rPr>
      <w:t xml:space="preserve">Triple IIoT — Manufacturing Agentic AI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aebc16c0ea91980317139d2cb8771a4e4690ab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Triple IIoT Manufacturing Agentic AI — Implementation Blueprint</dc:title>
  <dc:creator>IIIoT Infotech</dc:creator>
  <cp:lastModifiedBy>Un-named</cp:lastModifiedBy>
  <cp:revision>1</cp:revision>
  <dcterms:created xsi:type="dcterms:W3CDTF">2026-08-04T05:34:49.759Z</dcterms:created>
  <dcterms:modified xsi:type="dcterms:W3CDTF">2026-08-04T05:34:49.760Z</dcterms:modified>
</cp:coreProperties>
</file>

<file path=docProps/custom.xml><?xml version="1.0" encoding="utf-8"?>
<Properties xmlns="http://schemas.openxmlformats.org/officeDocument/2006/custom-properties" xmlns:vt="http://schemas.openxmlformats.org/officeDocument/2006/docPropsVTypes"/>
</file>