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Архитектурное описание решения: анализ госзакупок и ИИ-агент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Обзор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Решение состоит из четырёх слоёв: сбор данных из API OWS v3, хранилище PostgreSQL, аналитический слой на Python и ИИ-агент, который отвечает на вопросы о справедливости цен и аномалиях. Языковая модель ничего не считает сама: все числа вычисляет Python, а модель выбирает расчёт и формулирует ответ.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Данные охватывают 27 организаций за 2024–2026 годы: 78 275 строк договоров и 78 733 пункта плана.</w:t>
      </w:r>
    </w:p>
    <w:tbl>
      <w:tblPr>
        <w:tblStyle w:val="Table1"/>
        <w:tblW w:w="70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2"/>
        <w:gridCol w:w="3302"/>
        <w:gridCol w:w="2116"/>
        <w:tblGridChange w:id="0">
          <w:tblGrid>
            <w:gridCol w:w="1602"/>
            <w:gridCol w:w="3302"/>
            <w:gridCol w:w="211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Слой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Компонент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Технология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Сбор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загрузка сущностей OWS v3 по БИН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Python, REST API, 4 потока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Сырой слой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неизменённые JSON-ответы API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SQLite, таблица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ETL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очистка, версии, связи, нормализация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Python, pandas, SQLAlchemy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Хранилище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6 основных таблиц и 15 справочников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PostgreSQL 16 в Docker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Аналитика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справедливая цена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  <w:t xml:space="preserve">), количество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VOL</w:t>
            </w:r>
            <w:r w:rsidDel="00000000" w:rsidR="00000000" w:rsidRPr="00000000">
              <w:rPr>
                <w:rtl w:val="0"/>
              </w:rPr>
              <w:t xml:space="preserve">), флаги аномалий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Python, pandas, numpy, NLP (tfidf,colbert, splade, dense embeddings)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Агент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 инструмента, цикл вызовов, правила ответа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gpt-5.4-mini или Gemini через API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1. Архитектура: от API до хранилища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Данные проходят три шага: сбор из API в неизменный сырой слой, ETL в чистые таблицы и загрузка в PostgreSQL. Сырой слой отделён от чистых таблиц, поэтому ETL можно перезапускать без повторного обращения к API.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486400" cy="4269921"/>
            <wp:effectExtent b="0" l="0" r="0" t="0"/>
            <wp:docPr descr="поток данных · API → сырой слой → ETL → PostgreSQL" id="5" name="image1.png"/>
            <a:graphic>
              <a:graphicData uri="http://schemas.openxmlformats.org/drawingml/2006/picture">
                <pic:pic>
                  <pic:nvPicPr>
                    <pic:cNvPr descr="поток данных · API → сырой слой → ETL → PostgreSQL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9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поток данных · API → сырой слой → ETL → PostgreSQL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Сбор.</w:t>
      </w:r>
      <w:r w:rsidDel="00000000" w:rsidR="00000000" w:rsidRPr="00000000">
        <w:rPr>
          <w:rtl w:val="0"/>
        </w:rPr>
        <w:t xml:space="preserve"> Для каждого БИН последовательно запрашиваются план, лоты, объявления, договоры и их строки; отдельно загружаются справочники, карточки заказчиков и поставщиков и реестр недобросовестных поставщиков (РНУ). Каждый ответ сохраняется как есть в таблицу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raw</w:t>
      </w:r>
      <w:r w:rsidDel="00000000" w:rsidR="00000000" w:rsidRPr="00000000">
        <w:rPr>
          <w:rtl w:val="0"/>
        </w:rPr>
        <w:t xml:space="preserve"> с типом сущности, ID, БИН и годом. Сбор идемпотентный: уже загруженные объекты и завершённые организации пропускаются.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ETL.</w:t>
      </w:r>
      <w:r w:rsidDel="00000000" w:rsidR="00000000" w:rsidRPr="00000000">
        <w:rPr>
          <w:rtl w:val="0"/>
        </w:rPr>
        <w:t xml:space="preserve"> Скрипт читает JSON из сырого слоя, оставляет последние версии договоров и строк, восстанавливает связь строки договора с пунктом плана, определяет регион поставки и приводит цену к значению без НДС. Если API не вернул какое-то поле, скрипт подставляет пустой столбец и не падает. Результат пишется в PostgreSQL (флаг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--skip-pg</w:t>
      </w:r>
      <w:r w:rsidDel="00000000" w:rsidR="00000000" w:rsidRPr="00000000">
        <w:rPr>
          <w:rtl w:val="0"/>
        </w:rPr>
        <w:t xml:space="preserve"> оставляет только SQLite-копию).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Развёртывание.</w:t>
      </w:r>
      <w:r w:rsidDel="00000000" w:rsidR="00000000" w:rsidRPr="00000000">
        <w:rPr>
          <w:rtl w:val="0"/>
        </w:rPr>
        <w:t xml:space="preserve"> PostgreSQL работает в Docker через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docker-compose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2. Схема хранения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База содержит 21 таблицу PostgreSQL: 6 основных таблиц по цепочке «план → объявление → лот → договор → строка договора» и 15 справочников. Центральная витрина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contract_lines</w:t>
      </w:r>
      <w:r w:rsidDel="00000000" w:rsidR="00000000" w:rsidRPr="00000000">
        <w:rPr>
          <w:rtl w:val="0"/>
        </w:rPr>
        <w:t xml:space="preserve"> хранит в одной строке ссылки на договор, лот и пункт плана, поэтому цена, количество, ЕНСТРУ и регион доступны аналитике без дополнительных соединений.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486400" cy="4759778"/>
            <wp:effectExtent b="0" l="0" r="0" t="0"/>
            <wp:docPr descr="схема хранения · 6 основных таблиц и 15 справочников" id="7" name="image2.png"/>
            <a:graphic>
              <a:graphicData uri="http://schemas.openxmlformats.org/drawingml/2006/picture">
                <pic:pic>
                  <pic:nvPicPr>
                    <pic:cNvPr descr="схема хранения · 6 основных таблиц и 15 справочников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9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схема хранения · 6 основных таблиц и 15 справочников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Связи.</w:t>
      </w:r>
      <w:r w:rsidDel="00000000" w:rsidR="00000000" w:rsidRPr="00000000">
        <w:rPr>
          <w:rtl w:val="0"/>
        </w:rPr>
        <w:t xml:space="preserve"> Строка договора связана с пунктом плана напрямую через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plan_id</w:t>
      </w:r>
      <w:r w:rsidDel="00000000" w:rsidR="00000000" w:rsidRPr="00000000">
        <w:rPr>
          <w:rtl w:val="0"/>
        </w:rPr>
        <w:t xml:space="preserve">, а лот — через список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point_list</w:t>
      </w:r>
      <w:r w:rsidDel="00000000" w:rsidR="00000000" w:rsidRPr="00000000">
        <w:rPr>
          <w:rtl w:val="0"/>
        </w:rPr>
        <w:t xml:space="preserve">, так как один лот может объединять несколько пунктов. ЕНСТРУ и единица приходят в строку из плана четырьмя путями: напрямую (68 878 строк), через прежнюю версию плана (2 940), через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root_id</w:t>
      </w:r>
      <w:r w:rsidDel="00000000" w:rsidR="00000000" w:rsidRPr="00000000">
        <w:rPr>
          <w:rtl w:val="0"/>
        </w:rPr>
        <w:t xml:space="preserve"> (315) и через пункты лота (289). У 5 853 строк пункт плана удалён на портале.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Версии.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root_id</w:t>
      </w:r>
      <w:r w:rsidDel="00000000" w:rsidR="00000000" w:rsidRPr="00000000">
        <w:rPr>
          <w:rtl w:val="0"/>
        </w:rPr>
        <w:t xml:space="preserve"> объединяет все версии договора, строки или пункта плана;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is_latest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is_current</w:t>
      </w:r>
      <w:r w:rsidDel="00000000" w:rsidR="00000000" w:rsidRPr="00000000">
        <w:rPr>
          <w:rtl w:val="0"/>
        </w:rPr>
        <w:t xml:space="preserve"> отмечают действующую. Аналитика берёт только их, иначе суммы удваиваются.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Регион строки</w:t>
      </w:r>
      <w:r w:rsidDel="00000000" w:rsidR="00000000" w:rsidRPr="00000000">
        <w:rPr>
          <w:rtl w:val="0"/>
        </w:rPr>
        <w:t xml:space="preserve"> берётся из лота (41 648 строк), затем из единственного места поставки по плану (12 505), затем из адреса заказчика (24 122).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вне базы.</w:t>
      </w:r>
      <w:r w:rsidDel="00000000" w:rsidR="00000000" w:rsidRPr="00000000">
        <w:rPr>
          <w:rtl w:val="0"/>
        </w:rPr>
        <w:t xml:space="preserve"> Сырые ответы API, карточки поставщиков и реестр РНУ остаются в сыром слое. Аналитические таблицы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FP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VOL</w:t>
      </w:r>
      <w:r w:rsidDel="00000000" w:rsidR="00000000" w:rsidRPr="00000000">
        <w:rPr>
          <w:rtl w:val="0"/>
        </w:rPr>
        <w:t xml:space="preserve"> пока строятся в ноутбуке и в PostgreSQL не записываются.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Покрытие ЕНСТРУ в строках договоров: 99,6% в 2024 году, 99,3% в 2025-м и 76,4% в 2026-м, потому что часть пунктов плана 2026 года удалена на портале.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3. Аналитический слой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Аналитический слой заранее рассчитывает две таблицы: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FP</w:t>
      </w:r>
      <w:r w:rsidDel="00000000" w:rsidR="00000000" w:rsidRPr="00000000">
        <w:rPr>
          <w:rtl w:val="0"/>
        </w:rPr>
        <w:t xml:space="preserve"> — справедливая цена и статус для каждой строки договора, и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VOL</w:t>
      </w:r>
      <w:r w:rsidDel="00000000" w:rsidR="00000000" w:rsidRPr="00000000">
        <w:rPr>
          <w:rtl w:val="0"/>
        </w:rPr>
        <w:t xml:space="preserve"> — рост количества по позициям годовых планов. Агент не считает ничего на лету, а только фильтрует эти таблицы, поэтому один и тот же вопрос всегда даёт одни и те же числа.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5486400" cy="5078185"/>
            <wp:effectExtent b="0" l="0" r="0" t="0"/>
            <wp:docPr descr="аналитический слой · цены и количество" id="6" name="image3.png"/>
            <a:graphic>
              <a:graphicData uri="http://schemas.openxmlformats.org/drawingml/2006/picture">
                <pic:pic>
                  <pic:nvPicPr>
                    <pic:cNvPr descr="аналитический слой · цены и количество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8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аналитический слой · цены и количество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Группа сравнения</w:t>
      </w:r>
      <w:r w:rsidDel="00000000" w:rsidR="00000000" w:rsidRPr="00000000">
        <w:rPr>
          <w:rtl w:val="0"/>
        </w:rPr>
        <w:t xml:space="preserve"> — «код ЕНСТРУ + единица измерения», в ценах октября 2026 года. Региональный коэффициент рассчитан, но равен 1: в трёх регионах с данными цены различаются не более чем на 3%. Собственный договор строки (для диапазона — её организация) в эталон не входит.</w:t>
      </w:r>
    </w:p>
    <w:tbl>
      <w:tblPr>
        <w:tblStyle w:val="Table2"/>
        <w:tblW w:w="9359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2"/>
        <w:gridCol w:w="2784"/>
        <w:gridCol w:w="3714"/>
        <w:tblGridChange w:id="0">
          <w:tblGrid>
            <w:gridCol w:w="2862"/>
            <w:gridCol w:w="2784"/>
            <w:gridCol w:w="371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Категория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Доля или объём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Формула для расчета Справедливой цены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Однородные товары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60,5% строк товаров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медиана и среднее других договоров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Неоднородные товары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26,5% строк товаров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p25–p75 других организаций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Редкие товары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13,0% строк товаров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p25–p75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Услуги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6 868 строк, 400 групп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p25–p75, есть у 98,9% строк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Работы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≈ 1 000 строк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p25–p75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Здесь, однородные товары</w:t>
      </w:r>
      <w:r w:rsidDel="00000000" w:rsidR="00000000" w:rsidRPr="00000000">
        <w:rPr>
          <w:rtl w:val="0"/>
        </w:rPr>
        <w:t xml:space="preserve"> - товары , суммы которых достаточно близки друг к другу в разрезах ЕНСТРУ, и соответственно дисперсия од медианы - небольшая. Неожнородные - наоборот.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Почему диапазон, а не одно число.</w:t>
      </w:r>
      <w:r w:rsidDel="00000000" w:rsidR="00000000" w:rsidRPr="00000000">
        <w:rPr>
          <w:rtl w:val="0"/>
        </w:rPr>
        <w:t xml:space="preserve"> Шесть способов уточнить эталон (TF-IDF по описаниям, коды моделей, эмбеддинги BGE-M3, цена за с, плотные сегменты) не сузили разброс отклонении от медианы группы. Цену услуг определяет объём, которого нет в описании: «Услуги сотовой связи» стоят от 41 706 до 4 551 335 тенге. Диапазон честнее показывает эту неопределённость.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Надёжность эталона</w:t>
      </w:r>
      <w:r w:rsidDel="00000000" w:rsidR="00000000" w:rsidRPr="00000000">
        <w:rPr>
          <w:rtl w:val="0"/>
        </w:rPr>
        <w:t xml:space="preserve"> записывается в каждую строку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FP</w:t>
      </w:r>
      <w:r w:rsidDel="00000000" w:rsidR="00000000" w:rsidRPr="00000000">
        <w:rPr>
          <w:rtl w:val="0"/>
        </w:rPr>
        <w:t xml:space="preserve">: число строк и организаций в эталоне, статус и примечание. Менее 2 других организаций — расчёт по закупкам той же организации с примечанием; 1–2 строки — «недостаточно данных»; нет эталона — «нет эталона».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Влияние региона закупки. </w:t>
      </w:r>
      <w:r w:rsidDel="00000000" w:rsidR="00000000" w:rsidRPr="00000000">
        <w:rPr>
          <w:rtl w:val="0"/>
        </w:rPr>
        <w:t xml:space="preserve">Регион закупки не влияло на качество справедливости цен, так как те организации по которым были выгружены данные – в основном закупались в 2 города , Астана и Алматы.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Другие модели классического ML </w:t>
      </w:r>
      <w:r w:rsidDel="00000000" w:rsidR="00000000" w:rsidRPr="00000000">
        <w:rPr>
          <w:rtl w:val="0"/>
        </w:rPr>
        <w:t xml:space="preserve">не были использованы , потому что для umsupervised моделей типа IsolationForest, Autoencoders, данных из 26 организации мало для выявления закономерностей , если учитывать что нам нужно смотреть в разрезе енстру. Для моделей же supervised - данных мало и возможно понадобится делать labeling вручную.</w:t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Попытка подгруппировки по описанию закупки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Для услуг, работ и неоднородных товаров мы пытались разбить группу «ЕНСТРУ + единица» на подгруппы по дополнительному описанию предмета закупки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extra_desc_ru</w:t>
      </w:r>
      <w:r w:rsidDel="00000000" w:rsidR="00000000" w:rsidRPr="00000000">
        <w:rPr>
          <w:rtl w:val="0"/>
        </w:rPr>
        <w:t xml:space="preserve">), чтобы сравнивать цену только с действительно похожими закупками. Ни один из проверенных способов не сузил разброс отклонении от медианы, поэтому в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FP</w:t>
      </w:r>
      <w:r w:rsidDel="00000000" w:rsidR="00000000" w:rsidRPr="00000000">
        <w:rPr>
          <w:rtl w:val="0"/>
        </w:rPr>
        <w:t xml:space="preserve"> подгруппы пока не используются.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проверял.</w:t>
      </w:r>
      <w:r w:rsidDel="00000000" w:rsidR="00000000" w:rsidRPr="00000000">
        <w:rPr>
          <w:rtl w:val="0"/>
        </w:rPr>
        <w:t xml:space="preserve"> Каждый способ сравнивался с медианой той же группы. Эталон подгруппы строился только из чистых строк других организаций, как и основной. Мера качества — типичное отклонение цены строки от эталона должно было уменьшиться: чем меньше, тем точнее.</w:t>
      </w:r>
    </w:p>
    <w:tbl>
      <w:tblPr>
        <w:tblStyle w:val="Table3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6520"/>
        <w:tblGridChange w:id="0">
          <w:tblGrid>
            <w:gridCol w:w="2802"/>
            <w:gridCol w:w="65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Способ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Как работает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Сходство описаний TF-IDF 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буквенные сочетания из 3–5 символов внутри группы, сходство не ниже 0,5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Эмбеддинги Dense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10 ближайших по смыслу описаний на основе ембеддинга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TF-IDF с лемматизацией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перебор 1 575 сочетаний параметров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BM25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взвешешнный Bagofwords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Splade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Bagofwords с эмбеддингом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Почему не сработало.</w:t>
      </w:r>
      <w:r w:rsidDel="00000000" w:rsidR="00000000" w:rsidRPr="00000000">
        <w:rPr>
          <w:rtl w:val="0"/>
        </w:rPr>
        <w:t xml:space="preserve"> Описания слишком индивидуальны: у 88% строк неоднородных товаров описание не похоже ни на одно описание других организаций. Даже 396 строк с дословно одинаковым описанием отличаются от медианы других организаций в среднем в 2,98 раза, поэтому около 3 раз — предел для любого текстового метода: эмбеддинги, BM25 или SPLADE расширяют охват, но не точность. Главная причина в объёме: за «Услугами сотовой связи» могут стоять и 3, и 300 SIM-карт, а количество в описании обычно не указано. Кроме того, 42% строк неоднородных товаров находятся в группах, где закупали только 1–2 организации, и подгруппам просто не из чего строиться.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может дать точность.</w:t>
      </w:r>
      <w:r w:rsidDel="00000000" w:rsidR="00000000" w:rsidRPr="00000000">
        <w:rPr>
          <w:rtl w:val="0"/>
        </w:rPr>
        <w:t xml:space="preserve"> Описание полезно не как текст для сравнения, а как источник объёма: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расширить данные за пределы 27 организаций, чтобы у подгрупп был достаточный эталон.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Количество</w:t>
      </w:r>
      <w:r w:rsidDel="00000000" w:rsidR="00000000" w:rsidRPr="00000000">
        <w:rPr>
          <w:rtl w:val="0"/>
        </w:rPr>
        <w:t xml:space="preserve"> сравнивается со своими предыдущими годами, а не с другими организациями: объём зависит от размера заказчика. Источник — годовые планы, а не договоры, которые за 2026 год собраны только по октябрь. Позиции получают статусы «нет данных за прошлые годы», «новая позиция», «количество не меняется (1 ед.)», «нетипичный рост», «рост в пределах обычного» или «без изменений / снижение». Стоимость дополнительного количества задаёт только порядок вывода.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4. Логика ИИ-агента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Агент — языковая модель, которая не видит базу и не пишет SQL: она выбирает один из четырёх инструментов Python, передаёт ему параметры и формулирует ответ по готовым числам. Тип вопроса определяется именно выбором инструмента.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0" distR="0">
            <wp:extent cx="5486400" cy="3347357"/>
            <wp:effectExtent b="0" l="0" r="0" t="0"/>
            <wp:docPr descr="логика агента · модель, 4 инструмента, данные" id="8" name="image4.png"/>
            <a:graphic>
              <a:graphicData uri="http://schemas.openxmlformats.org/drawingml/2006/picture">
                <pic:pic>
                  <pic:nvPicPr>
                    <pic:cNvPr descr="логика агента · модель, 4 инструмента, данные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логика агента · модель, 4 инструмента, данные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Цикл вызовов.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Модель получает системную инструкцию, описания инструментов (имя, назначение, JSON-схема параметров) и вопрос.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Модель возвращает вызов инструмента с параметрами: строка договора, код ЕНСТРУ, БИН, год, порог, категория,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limit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проверяет параметры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limit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обрезается до 1–50 и в схеме, и в коде), фильтрует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или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VOL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 возвращает JSON: сводку и топ строк. Ошибка тоже возвращается как JSON, чтобы модель объяснила её пользователю.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Модель либо делает следующий вызов, либо пишет ответ; на один вопрос отводится не более 5 шагов.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6"/>
        <w:gridCol w:w="2436"/>
        <w:gridCol w:w="4168"/>
        <w:tblGridChange w:id="0">
          <w:tblGrid>
            <w:gridCol w:w="2756"/>
            <w:gridCol w:w="2436"/>
            <w:gridCol w:w="416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Инструмент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Типичный вопрос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Что возвращает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fair_price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«Справедлива ли цена по строке договора…?»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категорию, фактическую и справедливую цену (медиана и среднее или p25–p75), отклонение, статус, примечание, размер эталона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find_anomalies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«Найди закупки с отклонением цены более 30% по ЕНСТРУ…»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по категориям: правило, число проверенных и найденных строк, число заказчиков, топ строк с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volume_check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«Как менялось количество позиции у организации…?»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и сумму по годам, базу, рост, обычное изменение организации, статус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find_volume_anomalies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«Выяви нетипичное завышение количества…»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сводку по категориям и топ позиций по стоимости дополнительного количества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Правила ответа</w:t>
      </w:r>
      <w:r w:rsidDel="00000000" w:rsidR="00000000" w:rsidRPr="00000000">
        <w:rPr>
          <w:rtl w:val="0"/>
        </w:rPr>
        <w:t xml:space="preserve"> закреплены в системной инструкции: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числа берутся только из результатов инструментов, без пересчёта;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категорий с диапазоном называется диапазон, медиана — только как ориентир;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непустое примечание о надёжности всегда передаётся пользователю;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превышение цены или количества называется поводом для проверки, а не переплатой или нарушением;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результатов больше, чем показано, называется их общее число.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Почему не более 20–50 строк.</w:t>
      </w:r>
      <w:r w:rsidDel="00000000" w:rsidR="00000000" w:rsidRPr="00000000">
        <w:rPr>
          <w:rtl w:val="0"/>
        </w:rPr>
        <w:t xml:space="preserve"> На длинных списках модель чаще ошибается при копировании чисел, а ответ становится медленнее и дороже. Полный список планируется показывать в интерфейсе (Streamlit) напрямую из инструмента, минуя модель, с выгрузкой в CSV.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Пример.</w:t>
      </w:r>
      <w:r w:rsidDel="00000000" w:rsidR="00000000" w:rsidRPr="00000000">
        <w:rPr>
          <w:rtl w:val="0"/>
        </w:rPr>
        <w:t xml:space="preserve"> На вопрос «Найди закупки с отклонением цены более 30% по ЕНСТРУ 265152.790.000057» агент вызвал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find_anomalies</w:t>
      </w:r>
      <w:r w:rsidDel="00000000" w:rsidR="00000000" w:rsidRPr="00000000">
        <w:rPr>
          <w:rtl w:val="0"/>
        </w:rPr>
        <w:t xml:space="preserve"> с параметрами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enstru_code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threshold = 0.3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limit = 20</w:t>
      </w:r>
      <w:r w:rsidDel="00000000" w:rsidR="00000000" w:rsidRPr="00000000">
        <w:rPr>
          <w:rtl w:val="0"/>
        </w:rPr>
        <w:t xml:space="preserve"> и ответил: найдено 345 закупок, 115 из них выше порога, все у 2 заказчиков, в самых заметных случаях в 4–7 раз выше эталона, данных для сравнения достаточно.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Ограничения архитектуры и следующие шаги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Архитектура рабочая от API до ответа агента, но три звена пока держатся на ручных шагах: обновление данных, расчёт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FP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VOL</w:t>
      </w:r>
      <w:r w:rsidDel="00000000" w:rsidR="00000000" w:rsidRPr="00000000">
        <w:rPr>
          <w:rtl w:val="0"/>
        </w:rPr>
        <w:t xml:space="preserve"> в ноутбуке и запуск агента вне Docker.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5"/>
        <w:gridCol w:w="4630"/>
        <w:gridCol w:w="2145"/>
        <w:tblGridChange w:id="0">
          <w:tblGrid>
            <w:gridCol w:w="2585"/>
            <w:gridCol w:w="4630"/>
            <w:gridCol w:w="214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Звено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Сейчас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Целевое состояние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Аналитический слой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VOL</w:t>
            </w:r>
            <w:r w:rsidDel="00000000" w:rsidR="00000000" w:rsidRPr="00000000">
              <w:rPr>
                <w:rtl w:val="0"/>
              </w:rPr>
              <w:t xml:space="preserve"> строятся в ноутбуке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скрипт, записывающий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VOL</w:t>
            </w:r>
            <w:r w:rsidDel="00000000" w:rsidR="00000000" w:rsidRPr="00000000">
              <w:rPr>
                <w:rtl w:val="0"/>
              </w:rPr>
              <w:t xml:space="preserve"> и флаги аномалий в витрины PostgreSQL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Развёртывание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в Docker только PostgreSQL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агент и интерфейс в том же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docker-compose</w:t>
            </w:r>
            <w:r w:rsidDel="00000000" w:rsidR="00000000" w:rsidRPr="00000000">
              <w:rPr>
                <w:rtl w:val="0"/>
              </w:rPr>
              <w:t xml:space="preserve">, далее Kubernetes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Ответ агента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ID строк и договоров, без ссылок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прямые ссылки на goszakup.gov.kz и шаблон из пяти блоков ТЗ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Охват эталона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Данных в данном моменте - 27 организаций, 2 основных региона. Этих данных в данном случае не хватает для оценки эффекта региона закупки на справедливость цен. Также, для более глубокого разделения услуг и работ и неоднородных товаров на подклассы , на основе информации из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extra_desc_ru</w:t>
            </w:r>
            <w:r w:rsidDel="00000000" w:rsidR="00000000" w:rsidRPr="00000000">
              <w:rPr>
                <w:rtl w:val="0"/>
              </w:rPr>
              <w:t xml:space="preserve">(доп описание предмета закупки) нужны больше данных. Это в свою очередь даст возможность точнее определять справедливую цену.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расширение данных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Примеры ответов AI агента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Вопрос: Какая справедливая цена по строке договора 53480920?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По этой строке фактическая цена 56 000 тенге. Справедливая цена по сравнению с другими договорами — медиана 51 249 тенге, средняя 81 605 тенге; цена в пределах нормы, явного завышения нет.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Вопрос: Какая справедливая цена по строке договора 53608351?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По этой строке цена выглядит сильно выше обычного уровня: фактическая цена 13 888 400 тенге, а ориентир по другим закупкам — диапазон 704 605–3 821 096 тенге, медиана 2 006 629 тенге. Это примерно в 3,6 раза выше верхней границы диапазона, поэтому строка требует проверки.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Вопрос: Справедливая цена по ЕНСТРУ 205952.100.000177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По коду ЕНСТРУ 205952.100.000177 справедливая цена зависит от единицы измерения и даётся диапазоном: для 704 — 66 651–334 311 тг, для 778 — 86 818–226 290 тг, для 796 — 541 669–900 130 тг, для 872 — 55 007–721 063 тг. Для 796 и 872 есть предупреждения о малом числе данных, поэтому их стоит использовать только ориентировочно.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Вопрос: Найди закупки с отклонением цены &gt; 30% по ЕНСТРУ 265152.790.000057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По ЕНСТРУ 265152.790.000057 найдено 115 закупок с ценой выше нормы более чем на 30%, и большинство из них — по одному и тому же типу калибраторов: у них цена в разы выше ориентировочной. Есть также 2 редкие позиции, но по ним сравнение не получилось — данных для эталона недостаточно.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Вопрос: Найди аномалии цен на работы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Найдено 222 аномалии по работам: цена в этих случаях выше верхней границы обычного диапазона более чем на 30%. В выборке показаны самые сильные отклонения; среди них есть очень крупные случаи, где цена превышает ориентир в десятки и даже сотни раз.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Вопрос: Покажи самые сильные завышения цен на услуги в 2025 году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В 2025 году по услугам найдено 246 самых сильных завышений; показаны наиболее выраженные случаи. Лидируют услуги санитарно-эпидемиологической службы, санаторно‑курортного лечения, заправка медицинских газов, аккредитация лаборатории и сопровождение ИС — там цена превышает верхнюю границу обычного диапазона в десятки и сотни раз.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Вопрос: 990740002243 ұйымының бағасы қымбат сатып алуларын тап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Ұйым бойынша бағасы қымбат сатып алулар көп анықталды: әсіресе медициналық тауарлар мен кейбір кеңсе/техникалық позициялар бойынша баға басқа келісімдерден айқын жоғары. Барлығы 3326 жол табылды, ең күшті ауытқулар ғана көрсетілді.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Ең үлкен ауытқулардың ішінде: «Магния сульфат», бірнеше «Наконечник», «Прокаин», «Скальпель», «Бинт», сондай-ақ әртүрлі «Игла» түрлері бар; бұлар бойынша баға норма шегінен бірнеше есе жоғары. Редкі тауарлар бойынша салыстыратын эталон жоқ, сондықтан оларды бағалау мүмкін болмады.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Вопрос: Есть ли у организации 960440000220 нетипичный рост объёмов закупок в 2026 году?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Да, у организации есть нетипичный рост объёмов закупок в 2026 году: по одной позиции в услугах количество выросло относительно собственной истории и заметно выше обычного изменения по другим позициям этой же организации. При этом сравнение не очень надёжное, потому что у организации мало позиций для сопоставления.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Вопрос: Как менялось количество по ЕНСТРУ 829919.000.000009 у организации 960440000220?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По этой позиции количество росло так: в 2024 году — 2, в 2025 — 3, в 2026 — 4. В 2026 году рост выглядит нетипичным: количество выросло в 1,6 раза к среднему за предыдущие годы и выше обычного изменения этой организации; при этом у организации мало позиций для сравнения, поэтому оценка предварительная.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Вопрос: Найди самые сильные завышения количества услуг по сравнению с прошлыми годами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Найдено 31 самое сильное нетипичное увеличение количества услуг у 17 организаций; показаны самые крупные случаи. Лидируют услуги по техподдержке ПО, содержанию зданий, энергоснабжению и лицензиям на ПО — в ряде позиций рост в 3 и более раз по сравнению с прошлымі годами.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20">
    <w:name w:val="Quote"/>
    <w:basedOn w:val="a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 w:customStyle="1">
    <w:name w:val="Code"/>
    <w:basedOn w:val="a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 w:customStyle="1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a4">
    <w:name w:val="List Paragraph"/>
    <w:basedOn w:val="a"/>
    <w:qFormat w:val="1"/>
    <w:pPr>
      <w:ind w:left="720"/>
      <w:contextualSpacing w:val="1"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jpd2tSNhRuPVeh9wDMYE/Iw4vw==">CgMxLjA4AHIhMU5WNGl3ZldvaXZ5TUxNZWdGZ1JFZ2ZiWHNERlVqd1At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2026-10-28T19:58:00Z</dcterms:created>
</cp:coreProperties>
</file>