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Reporte de Pruebas del Servidor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AsisApp — Sistema de Asistencia y Programación SENA</w:t>
      </w:r>
    </w:p>
    <w:p>
      <w:pPr>
        <w:spacing w:after="400"/>
        <w:jc w:val="center"/>
      </w:pPr>
      <w:r>
        <w:rPr>
          <w:sz w:val="20"/>
          <w:szCs w:val="20"/>
        </w:rPr>
        <w:t xml:space="preserve">Fecha de ejecución: 3 de julio de 2026</w:t>
      </w:r>
    </w:p>
    <w:p>
      <w:pPr>
        <w:pStyle w:val="Heading1"/>
        <w:spacing w:after="150" w:before="300"/>
      </w:pPr>
      <w:r>
        <w:t xml:space="preserve">1. Objetivo de la prueba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Verificar el correcto funcionamiento de los endpoints principales del backend (smoke test) y evaluar la capacidad de respuesta del servidor bajo carga concurrente (prueba de capacidad), utilizando la herramienta autocannon.</w:t>
      </w:r>
    </w:p>
    <w:p>
      <w:pPr>
        <w:pStyle w:val="Heading1"/>
        <w:spacing w:after="150" w:before="300"/>
      </w:pPr>
      <w:r>
        <w:t xml:space="preserve">2. Resultados del Smoke Test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Se verificó la disponibilidad y respuesta correcta de los endpoints críticos del sistema: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W w:type="dxa" w:w="5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GET /api/tenants</w:t>
            </w:r>
          </w:p>
        </w:tc>
        <w:tc>
          <w:tcPr>
            <w:tcW w:type="dxa" w:w="3500"/>
            <w:shd w:fill="D9EAD3" w:val="clear"/>
          </w:tcPr>
          <w:p>
            <w:r>
              <w:rPr>
                <w:b w:val="false"/>
                <w:bCs w:val="false"/>
              </w:rPr>
              <w:t xml:space="preserve">200 OK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GET /api/formativo/departamentos</w:t>
            </w:r>
          </w:p>
        </w:tc>
        <w:tc>
          <w:tcPr>
            <w:tcW w:type="dxa" w:w="3500"/>
            <w:shd w:fill="D9EAD3" w:val="clear"/>
          </w:tcPr>
          <w:p>
            <w:r>
              <w:rPr>
                <w:b w:val="false"/>
                <w:bCs w:val="false"/>
              </w:rPr>
              <w:t xml:space="preserve">200 OK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POST /api/auth/login</w:t>
            </w:r>
          </w:p>
        </w:tc>
        <w:tc>
          <w:tcPr>
            <w:tcW w:type="dxa" w:w="3500"/>
            <w:shd w:fill="D9EAD3" w:val="clear"/>
          </w:tcPr>
          <w:p>
            <w:r>
              <w:rPr>
                <w:b w:val="false"/>
                <w:bCs w:val="false"/>
              </w:rPr>
              <w:t xml:space="preserve">201 Created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GET /api/super-admin/tenants</w:t>
            </w:r>
          </w:p>
        </w:tc>
        <w:tc>
          <w:tcPr>
            <w:tcW w:type="dxa" w:w="3500"/>
            <w:shd w:fill="D9EAD3" w:val="clear"/>
          </w:tcPr>
          <w:p>
            <w:r>
              <w:rPr>
                <w:b w:val="false"/>
                <w:bCs w:val="false"/>
              </w:rPr>
              <w:t xml:space="preserve">200 OK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GET /api/instructores</w:t>
            </w:r>
          </w:p>
        </w:tc>
        <w:tc>
          <w:tcPr>
            <w:tcW w:type="dxa" w:w="3500"/>
            <w:shd w:fill="D9EAD3" w:val="clear"/>
          </w:tcPr>
          <w:p>
            <w:r>
              <w:rPr>
                <w:b w:val="false"/>
                <w:bCs w:val="false"/>
              </w:rPr>
              <w:t xml:space="preserve">200 OK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GET /api/horarios-admin/fichas</w:t>
            </w:r>
          </w:p>
        </w:tc>
        <w:tc>
          <w:tcPr>
            <w:tcW w:type="dxa" w:w="3500"/>
            <w:shd w:fill="D9EAD3" w:val="clear"/>
          </w:tcPr>
          <w:p>
            <w:r>
              <w:rPr>
                <w:b w:val="false"/>
                <w:bCs w:val="false"/>
              </w:rPr>
              <w:t xml:space="preserve">200 OK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GET /api/horarios-admin/ambientes</w:t>
            </w:r>
          </w:p>
        </w:tc>
        <w:tc>
          <w:tcPr>
            <w:tcW w:type="dxa" w:w="3500"/>
            <w:shd w:fill="D9EAD3" w:val="clear"/>
          </w:tcPr>
          <w:p>
            <w:r>
              <w:rPr>
                <w:b w:val="false"/>
                <w:bCs w:val="false"/>
              </w:rPr>
              <w:t xml:space="preserve">200 OK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GET /api/asistencia/historial</w:t>
            </w:r>
          </w:p>
        </w:tc>
        <w:tc>
          <w:tcPr>
            <w:tcW w:type="dxa" w:w="3500"/>
            <w:shd w:fill="D9EAD3" w:val="clear"/>
          </w:tcPr>
          <w:p>
            <w:r>
              <w:rPr>
                <w:b w:val="false"/>
                <w:bCs w:val="false"/>
              </w:rPr>
              <w:t xml:space="preserve">403 (esperado sin rol admin)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3. Resultados de la Prueba de Capacidad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Se realizaron pruebas de carga con distintos niveles de conexiones concurrentes sobre endpoints representativos: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Prueba</w:t>
            </w:r>
          </w:p>
        </w:tc>
        <w:tc>
          <w:tcPr>
            <w:tcW w:type="dxa" w:w="25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Conexiones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/api/tenants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20 conexiones</w:t>
            </w:r>
          </w:p>
        </w:tc>
        <w:tc>
          <w:tcPr>
            <w:tcW w:type="dxa" w:w="3000"/>
            <w:shd w:fill="D9EAD3" w:val="clear"/>
          </w:tcPr>
          <w:p>
            <w:r>
              <w:rPr>
                <w:b w:val="false"/>
                <w:bCs w:val="false"/>
              </w:rPr>
              <w:t xml:space="preserve">~1,684 req/seg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/api/tenants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100 conexiones</w:t>
            </w:r>
          </w:p>
        </w:tc>
        <w:tc>
          <w:tcPr>
            <w:tcW w:type="dxa" w:w="3000"/>
            <w:shd w:fill="D9EAD3" w:val="clear"/>
          </w:tcPr>
          <w:p>
            <w:r>
              <w:rPr>
                <w:b w:val="false"/>
                <w:bCs w:val="false"/>
              </w:rPr>
              <w:t xml:space="preserve">~1,849 req/seg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/api/instructores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20 conexiones</w:t>
            </w:r>
          </w:p>
        </w:tc>
        <w:tc>
          <w:tcPr>
            <w:tcW w:type="dxa" w:w="3000"/>
            <w:shd w:fill="D9EAD3" w:val="clear"/>
          </w:tcPr>
          <w:p>
            <w:r>
              <w:rPr>
                <w:b w:val="false"/>
                <w:bCs w:val="false"/>
              </w:rPr>
              <w:t xml:space="preserve">~184 req/seg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/api/instructores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50 conexiones</w:t>
            </w:r>
          </w:p>
        </w:tc>
        <w:tc>
          <w:tcPr>
            <w:tcW w:type="dxa" w:w="3000"/>
            <w:shd w:fill="D9EAD3" w:val="clear"/>
          </w:tcPr>
          <w:p>
            <w:r>
              <w:rPr>
                <w:b w:val="false"/>
                <w:bCs w:val="false"/>
              </w:rPr>
              <w:t xml:space="preserve">~260 req/seg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4. Hallazgo relevante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Durante la prueba de carga se detectó que el identificador de sede (tenant) "Centro de Formación Pitalito", al contener un carácter acentuado, provoca fallas en el encabezado HTTP x-tenant-id cuando es utilizado por ciertos clientes HTTP (como autocannon), resultando en 0% de éxito en las solicitudes bajo esa condición específica.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Esta misma solicitud, realizada con herramientas como curl o desde el navegador, se procesa correctamente (200 OK), por lo que el problema es de compatibilidad de codificación de encabezados y no un fallo funcional del backend.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Al repetir la prueba con un identificador de sede sin caracteres especiales ("caldas"), la tasa de éxito fue superior al 98.7%, confirmando que el origen del problema es la codificación del nombre de la sede y no la capacidad del servidor.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Recomendación: normalizar los slugs/identificadores de tenant para que utilicen únicamente caracteres ASCII (sin tildes ni caracteres especiales), evitando así incompatibilidades con clientes HTTP que no manejan correctamente la codificación de encabezados no estándar.</w:t>
      </w:r>
    </w:p>
    <w:p>
      <w:pPr>
        <w:pStyle w:val="Heading1"/>
        <w:spacing w:after="150" w:before="300"/>
      </w:pPr>
      <w:r>
        <w:t xml:space="preserve">5. Conclusión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El backend respondió correctamente a todos los endpoints evaluados en el smoke test y mantuvo un desempeño estable bajo las condiciones de carga probadas, con tasas de éxito superiores al 98% en los escenarios sin caracteres especiales en el tenant. Se recomienda aplicar la normalización de identificadores de sede señalada en la sección anterior antes de futuras pruebas de carga o despliegues a producción.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2026-07-03T08:24:36.995Z</dcterms:created>
  <dcterms:modified xsi:type="dcterms:W3CDTF">2026-07-03T08:24:36.996Z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