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4213D"/>
          <w:sz w:val="48"/>
        </w:rPr>
        <w:t>Bir Yılın Faturasını On Hasar Yazar</w:t>
      </w:r>
    </w:p>
    <w:p>
      <w:r>
        <w:rPr>
          <w:b w:val="0"/>
          <w:i w:val="0"/>
          <w:color w:val="B4561C"/>
          <w:sz w:val="25"/>
        </w:rPr>
        <w:t>Açık veriyle trafik sigortası fiyatlama: frekans, şiddet ve kuyruk riski</w:t>
      </w:r>
    </w:p>
    <w:p>
      <w:pPr>
        <w:pBdr>
          <w:bottom w:val="single" w:sz="8" w:space="4" w:color="E07A2E"/>
        </w:pBdr>
      </w:pPr>
      <w:r>
        <w:rPr>
          <w:b w:val="0"/>
          <w:i/>
          <w:sz w:val="19"/>
        </w:rPr>
        <w:t>Mehmet Ali Kaya · Veri Yönetimi Uzmanı, Yönetim Bilişim Sistemleri Doktora Adayı, İstatistik Yüksek Lisans</w:t>
      </w:r>
    </w:p>
    <w:p>
      <w:r>
        <w:rPr>
          <w:b/>
          <w:i w:val="0"/>
          <w:sz w:val="23"/>
        </w:rPr>
        <w:t>678.013 poliçelik açık bir trafik portföyünde frekansı, şiddeti ve büyük hasarları ayrı ayrı modelledim. Makine öğrenmesi riski daha iyi sıraladı; ama asıl ders, yılın faturasını birkaç büyük hasarın yazmasıydı.</w:t>
      </w:r>
    </w:p>
    <w:p>
      <w:pPr>
        <w:pStyle w:val="Heading1"/>
      </w:pPr>
      <w:r>
        <w:t>Veri</w:t>
      </w:r>
    </w:p>
    <w:p>
      <w:r>
        <w:t>Veri, CASdatasets koleksiyonundan freMTPL2: Fransız bir sigortacının trafik portföyü, OpenML'de CC0 lisanslı. Temizlik sonrası 678.013 poliçe, 358.360 poliçe-yılı ve 26.406 hasar kaldı; yıllık frekans yüzde 7,4. Hasar sayısı olup tutarı olmayan 9.116 poliçeyi hasarsız kabul ettim; bu tek karar bile saf primi değiştiriyor.</w:t>
      </w:r>
    </w:p>
    <w:p>
      <w:pPr>
        <w:pStyle w:val="Heading1"/>
      </w:pPr>
      <w:r>
        <w:t>Frekans: Makine öğrenmesi daha iyi sıralıyor</w:t>
      </w:r>
    </w:p>
    <w:p>
      <w:r>
        <w:t>Yüzde 20'lik test portföyünde riski sıralama gücü (Gini) Poisson GLM'de 0,273, Poisson gradient boosting'de 0,321. Kazanç gerçek; bedeli ise açıklanabilirlik. "Neden bu fiyat?" sorusu, doğruluk kadar önemli.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57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ren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Grafik 1. Test portföyünde Lorenz eğrileri: köşegenden uzaklaştıkça sıralama gücü artar.</w:t>
      </w:r>
    </w:p>
    <w:p>
      <w:pPr>
        <w:pStyle w:val="Heading1"/>
      </w:pPr>
      <w:r>
        <w:t>Şiddet: Ortalaması bile belirsiz bir kuyruk</w:t>
      </w:r>
    </w:p>
    <w:p>
      <w:r>
        <w:t>Hasar başına tutarın medyanı 1.172, ortalaması 2.279 avro; en büyük tek hasar 4,07 milyon avro. Yüzde 99 eşiğinin (16.024 avro) üstündeki 199 hasara Uç Değer Teorisi'nin Genelleştirilmiş Pareto dağılımını uydurdum: şekil parametresi ξ = 0,87, bootstrap güven aralığı 0,59–1,11. ξ 1'i aşarsa ortalama tanımsızlaşır; yeniden örneklemelerin yüzde 20'sinde aştı. Test yılında en büyük 10 hasar toplam maliyetin yüzde 21'sini oluşturdu.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9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ogunlas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Grafik 2. Test yılında hasar maliyetinin en büyük hasarlarda yoğunlaşması.</w:t>
      </w:r>
    </w:p>
    <w:p>
      <w:pPr>
        <w:pStyle w:val="Heading1"/>
      </w:pPr>
      <w:r>
        <w:t>Saf prim: Yükleme bir risk iştahı kararı</w:t>
      </w:r>
    </w:p>
    <w:p>
      <w:r>
        <w:t>Motor; frekans (gradient boosting) × olağan şiddet (Gamma GLM) + büyük hasar yüklemesinden oluşuyor (Gini 0,331). Gözlenen büyük hasarlardan gelen yükleme (680 avro) ile tahmin/gerçekleşen oranı 0,999; GPD yüklemesiyle (1.210 avro) 1,233, yani yüzde 23 daha ihtiyatlı. Hangisinin seçileceği sermayeye, reasüransa ve rekabete bağlı: Model kararı vermez, kararın bedelini görünür kılar.</w:t>
      </w:r>
    </w:p>
    <w:p>
      <w:pPr>
        <w:pStyle w:val="Heading1"/>
      </w:pPr>
      <w:r>
        <w:t>Sektör için üç ders</w:t>
      </w:r>
    </w:p>
    <w:p>
      <w:r>
        <w:t>Birincisi, makine öğrenmesi riski daha iyi sıralıyor ama tek başına bir tarife değil; GLM ile birbirini denetleyen iki göz olarak çalışmalı. İkincisi, kuyruk bu kadar ağırken geçmiş deneyim gelecekteki büyük hasarı sistematik olarak eksik gösterebilir; EVT bu riski görünür kılar. Üçüncüsü, veri kalitesi her şeyin önünde: 9.116 tutarsız kaydı nasıl ele aldığınız, primi doğrudan değiştiriyor. Veri yönetimi fiyatlamanın arka odası değil, temelidir.</w:t>
      </w:r>
    </w:p>
    <w:p>
      <w:pPr>
        <w:pStyle w:val="Heading1"/>
      </w:pPr>
      <w:r>
        <w:t>Sınırlılıklar</w:t>
      </w:r>
    </w:p>
    <w:p>
      <w:r>
        <w:t>Fransız ve tek dönemlik veri; enflasyon, IBNR ve reasürans modelde yok, kuyruk modeli 199 hasara dayanıyor. Sonuçlar bir yöntem gösterimidir, Türkiye için tarife önerisi değildir.</w:t>
      </w:r>
    </w:p>
    <w:p>
      <w:r>
        <w:rPr>
          <w:i/>
          <w:sz w:val="17"/>
        </w:rPr>
        <w:t>Kod: https://github.com/000MAK/cafepolice-actuarial-loss-engine  ·  Model: https://huggingface.co/makactuary/fremtpl2-pricing-engine</w:t>
        <w:br/>
        <w:t>Kaynak: Dutang, C. ve Charpentier, A., CASdatasets (freMTPL2, OpenML 41214/41215, CC0).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213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