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Measured Waste Classification Results</w:t>
      </w:r>
    </w:p>
    <w:p>
      <w:r>
        <w:t>Results supplement for the waste classification manuscript. Review measured outputs, replace the proposal wording and integrate these tables and figures with your introduction, methodology and references.</w:t>
      </w:r>
    </w:p>
    <w:p>
      <w:pPr>
        <w:pStyle w:val="Heading1"/>
      </w:pPr>
      <w:r>
        <w:t>Experimental status</w:t>
      </w:r>
    </w:p>
    <w:p>
      <w:r>
        <w:t>Completed runs: 12. Full standard 4-model × 3-seed study: True. CPU latency available for all runs: True.</w:t>
      </w:r>
    </w:p>
    <w:p>
      <w:pPr>
        <w:pStyle w:val="Heading1"/>
      </w:pPr>
      <w:r>
        <w:t>Classification performance</w:t>
      </w:r>
    </w:p>
    <w:tbl>
      <w:tblPr>
        <w:tblStyle w:val="TableGrid"/>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Model</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Accuracy</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Macro precision</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Macro recall</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Macro F1</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custom_cnn</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0.5635 ± 0.0347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0.5879 ± 0.0387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0.5728 ± 0.0302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0.5354 ± 0.0295</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efficientnetb0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0.8739 ± 0.0122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0.8465 ± 0.0156</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0.8653 ± 0.0190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0.8526 ± 0.0166</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mobilenetv2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0.8466 ± 0.0092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0.8176 ± 0.0176</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0.8260 ± 0.0094</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0.8193 ± 0.0134</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resnet50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0.8951 ± 0.0076</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0.8786 ± 0.0090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0.8786 ± 0.0149</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0.8771 ± 0.0125</w:t>
            </w:r>
          </w:p>
        </w:tc>
      </w:tr>
    </w:tbl>
    <w:p/>
    <w:p>
      <w:r>
        <w:t>Metrics are fractions. Values are mean ± sample standard deviation across completed training seeds on a common fixed test split.</w:t>
      </w:r>
    </w:p>
    <w:p>
      <w:pPr>
        <w:pStyle w:val="Heading1"/>
      </w:pPr>
      <w:r>
        <w:t>Computational measurements</w:t>
      </w:r>
    </w:p>
    <w:tbl>
      <w:tblPr>
        <w:tblStyle w:val="TableGrid"/>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Model</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Parameters</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Size MiB</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Training minutes</w:t>
            </w:r>
          </w:p>
        </w:tc>
        <w:tc>
          <w:tcPr>
            <w:tcW w:type="dxa" w:w="2016"/>
            <w:tcBorders>
              <w:top w:val="single" w:sz="4" w:color="D9D9D9"/>
              <w:left w:val="single" w:sz="4" w:color="D9D9D9"/>
              <w:bottom w:val="single" w:sz="4" w:color="D9D9D9"/>
              <w:right w:val="single" w:sz="4" w:color="D9D9D9"/>
            </w:tcBorders>
            <w:shd w:fill="E7E6E6"/>
          </w:tcPr>
          <w:p>
            <w:pPr>
              <w:spacing w:before="80" w:after="80"/>
            </w:pPr>
            <w:r>
              <w:rPr>
                <w:b/>
                <w:sz w:val="18"/>
              </w:rPr>
              <w:t>CPU median ms</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custom_cnn</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110,534</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0.47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12.68</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15.95</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efficientnetb0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4,057,257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16.30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22.31</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19.58</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mobilenetv2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2,265,670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9.22</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16.25</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12.76</w:t>
            </w:r>
          </w:p>
        </w:tc>
      </w:tr>
      <w:tr>
        <w:trPr>
          <w:cantSplit/>
        </w:trPr>
        <w:tc>
          <w:tcPr>
            <w:tcW w:type="dxa" w:w="2016"/>
            <w:tcBorders>
              <w:top w:val="single" w:sz="4" w:color="D9D9D9"/>
              <w:left w:val="single" w:sz="4" w:color="D9D9D9"/>
              <w:bottom w:val="single" w:sz="4" w:color="D9D9D9"/>
              <w:right w:val="single" w:sz="4" w:color="D9D9D9"/>
            </w:tcBorders>
          </w:tcPr>
          <w:p>
            <w:pPr>
              <w:spacing w:before="80" w:after="80"/>
            </w:pPr>
            <w:r>
              <w:rPr>
                <w:b w:val="0"/>
                <w:sz w:val="18"/>
              </w:rPr>
              <w:t>resnet50</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23,600,006</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90.67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91.27</w:t>
            </w:r>
          </w:p>
        </w:tc>
        <w:tc>
          <w:tcPr>
            <w:tcW w:type="dxa" w:w="2016"/>
            <w:tcBorders>
              <w:top w:val="single" w:sz="4" w:color="D9D9D9"/>
              <w:left w:val="single" w:sz="4" w:color="D9D9D9"/>
              <w:bottom w:val="single" w:sz="4" w:color="D9D9D9"/>
              <w:right w:val="single" w:sz="4" w:color="D9D9D9"/>
            </w:tcBorders>
          </w:tcPr>
          <w:p>
            <w:pPr>
              <w:spacing w:before="80" w:after="80"/>
            </w:pPr>
            <w:r>
              <w:rPr>
                <w:b w:val="0"/>
                <w:sz w:val="18"/>
              </w:rPr>
              <w:t>93.98</w:t>
            </w:r>
          </w:p>
        </w:tc>
      </w:tr>
    </w:tbl>
    <w:p/>
    <w:p>
      <w:r>
        <w:t>Training duration includes validation macro F1 and checkpoint I/O. Inference uses float32 and batch size one. Consult environment files and latency sample CSVs for settings and variability. Uncertainty in timing and image sampling is not represented by this compact table.</w:t>
      </w:r>
    </w:p>
    <w:p>
      <w:pPr>
        <w:pStyle w:val="Heading1"/>
      </w:pPr>
      <w:r>
        <w:t>Results paragraph for review</w:t>
      </w:r>
    </w:p>
    <w:p>
      <w:r>
        <w:t>Among the completed configurations, resnet50 obtained the highest mean test macro F1 (0.8771). This ranking is specific to the fixed dataset split and training protocol. Class-wise metrics and paired uncertainty analysis should be considered before interpreting a small difference as meaningful. No practical sorting reliability is established by this result alone.</w:t>
      </w:r>
    </w:p>
    <w:p>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comparison_macro_f1.png"/>
                    <pic:cNvPicPr/>
                  </pic:nvPicPr>
                  <pic:blipFill>
                    <a:blip r:embed="rId9"/>
                    <a:stretch>
                      <a:fillRect/>
                    </a:stretch>
                  </pic:blipFill>
                  <pic:spPr>
                    <a:xfrm>
                      <a:off x="0" y="0"/>
                      <a:ext cx="5943600" cy="3396343"/>
                    </a:xfrm>
                    <a:prstGeom prst="rect"/>
                  </pic:spPr>
                </pic:pic>
              </a:graphicData>
            </a:graphic>
          </wp:inline>
        </w:drawing>
      </w:r>
    </w:p>
    <w:p>
      <w:r>
        <w:t>comparison_macro_f1.png</w:t>
      </w:r>
    </w:p>
    <w:p>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performance_vs_latency.png"/>
                    <pic:cNvPicPr/>
                  </pic:nvPicPr>
                  <pic:blipFill>
                    <a:blip r:embed="rId10"/>
                    <a:stretch>
                      <a:fillRect/>
                    </a:stretch>
                  </pic:blipFill>
                  <pic:spPr>
                    <a:xfrm>
                      <a:off x="0" y="0"/>
                      <a:ext cx="5943600" cy="3396343"/>
                    </a:xfrm>
                    <a:prstGeom prst="rect"/>
                  </pic:spPr>
                </pic:pic>
              </a:graphicData>
            </a:graphic>
          </wp:inline>
        </w:drawing>
      </w:r>
    </w:p>
    <w:p>
      <w:r>
        <w:t>performance_vs_latency.png</w:t>
      </w:r>
    </w:p>
    <w:p>
      <w:pPr>
        <w:pStyle w:val="Heading1"/>
        <w:pageBreakBefore/>
      </w:pPr>
      <w:r>
        <w:t>custom cnn seed42</w:t>
      </w:r>
    </w:p>
    <w:p>
      <w:r>
        <w:t>Seed 42 is a predeclared illustrative run. Use aggregate metrics for model ranking. Epoch indices start at zero; transfer curves concatenate head training and fine-tuning.</w:t>
      </w:r>
    </w:p>
    <w:p>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training_panel.png"/>
                    <pic:cNvPicPr/>
                  </pic:nvPicPr>
                  <pic:blipFill>
                    <a:blip r:embed="rId11"/>
                    <a:stretch>
                      <a:fillRect/>
                    </a:stretch>
                  </pic:blipFill>
                  <pic:spPr>
                    <a:xfrm>
                      <a:off x="0" y="0"/>
                      <a:ext cx="5943600" cy="1981200"/>
                    </a:xfrm>
                    <a:prstGeom prst="rect"/>
                  </pic:spPr>
                </pic:pic>
              </a:graphicData>
            </a:graphic>
          </wp:inline>
        </w:drawing>
      </w:r>
    </w:p>
    <w:p>
      <w:r>
        <w:t>Training and validation accuracy and loss</w:t>
      </w:r>
    </w:p>
    <w:p>
      <w:r>
        <w:drawing>
          <wp:inline xmlns:a="http://schemas.openxmlformats.org/drawingml/2006/main" xmlns:pic="http://schemas.openxmlformats.org/drawingml/2006/picture">
            <wp:extent cx="4389120" cy="376210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762103"/>
                    </a:xfrm>
                    <a:prstGeom prst="rect"/>
                  </pic:spPr>
                </pic:pic>
              </a:graphicData>
            </a:graphic>
          </wp:inline>
        </w:drawing>
      </w:r>
    </w:p>
    <w:p>
      <w:r>
        <w:t>Confusion matrix on held-out images</w:t>
      </w:r>
    </w:p>
    <w:p>
      <w:pPr>
        <w:pStyle w:val="Heading1"/>
        <w:pageBreakBefore/>
      </w:pPr>
      <w:r>
        <w:t>efficientnetb0 seed42</w:t>
      </w:r>
    </w:p>
    <w:p>
      <w:r>
        <w:t>Seed 42 is a predeclared illustrative run. Use aggregate metrics for model ranking. Epoch indices start at zero; transfer curves concatenate head training and fine-tuning.</w:t>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training_panel.png"/>
                    <pic:cNvPicPr/>
                  </pic:nvPicPr>
                  <pic:blipFill>
                    <a:blip r:embed="rId13"/>
                    <a:stretch>
                      <a:fillRect/>
                    </a:stretch>
                  </pic:blipFill>
                  <pic:spPr>
                    <a:xfrm>
                      <a:off x="0" y="0"/>
                      <a:ext cx="5943600" cy="1981200"/>
                    </a:xfrm>
                    <a:prstGeom prst="rect"/>
                  </pic:spPr>
                </pic:pic>
              </a:graphicData>
            </a:graphic>
          </wp:inline>
        </w:drawing>
      </w:r>
    </w:p>
    <w:p>
      <w:r>
        <w:t>Training and validation accuracy and loss</w:t>
      </w:r>
    </w:p>
    <w:p>
      <w:r>
        <w:drawing>
          <wp:inline xmlns:a="http://schemas.openxmlformats.org/drawingml/2006/main" xmlns:pic="http://schemas.openxmlformats.org/drawingml/2006/picture">
            <wp:extent cx="4389120" cy="3762103"/>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89120" cy="3762103"/>
                    </a:xfrm>
                    <a:prstGeom prst="rect"/>
                  </pic:spPr>
                </pic:pic>
              </a:graphicData>
            </a:graphic>
          </wp:inline>
        </w:drawing>
      </w:r>
    </w:p>
    <w:p>
      <w:r>
        <w:t>Confusion matrix on held-out images</w:t>
      </w:r>
    </w:p>
    <w:p>
      <w:pPr>
        <w:pStyle w:val="Heading1"/>
        <w:pageBreakBefore/>
      </w:pPr>
      <w:r>
        <w:t>mobilenetv2 seed42</w:t>
      </w:r>
    </w:p>
    <w:p>
      <w:r>
        <w:t>Seed 42 is a predeclared illustrative run. Use aggregate metrics for model ranking. Epoch indices start at zero; transfer curves concatenate head training and fine-tuning.</w:t>
      </w:r>
    </w:p>
    <w:p>
      <w:r>
        <w:drawing>
          <wp:inline xmlns:a="http://schemas.openxmlformats.org/drawingml/2006/main" xmlns:pic="http://schemas.openxmlformats.org/drawingml/2006/picture">
            <wp:extent cx="5943600" cy="1981200"/>
            <wp:docPr id="7" name="Picture 7"/>
            <wp:cNvGraphicFramePr>
              <a:graphicFrameLocks noChangeAspect="1"/>
            </wp:cNvGraphicFramePr>
            <a:graphic>
              <a:graphicData uri="http://schemas.openxmlformats.org/drawingml/2006/picture">
                <pic:pic>
                  <pic:nvPicPr>
                    <pic:cNvPr id="0" name="training_panel.png"/>
                    <pic:cNvPicPr/>
                  </pic:nvPicPr>
                  <pic:blipFill>
                    <a:blip r:embed="rId15"/>
                    <a:stretch>
                      <a:fillRect/>
                    </a:stretch>
                  </pic:blipFill>
                  <pic:spPr>
                    <a:xfrm>
                      <a:off x="0" y="0"/>
                      <a:ext cx="5943600" cy="1981200"/>
                    </a:xfrm>
                    <a:prstGeom prst="rect"/>
                  </pic:spPr>
                </pic:pic>
              </a:graphicData>
            </a:graphic>
          </wp:inline>
        </w:drawing>
      </w:r>
    </w:p>
    <w:p>
      <w:r>
        <w:t>Training and validation accuracy and loss</w:t>
      </w:r>
    </w:p>
    <w:p>
      <w:r>
        <w:drawing>
          <wp:inline xmlns:a="http://schemas.openxmlformats.org/drawingml/2006/main" xmlns:pic="http://schemas.openxmlformats.org/drawingml/2006/picture">
            <wp:extent cx="4389120" cy="3762103"/>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389120" cy="3762103"/>
                    </a:xfrm>
                    <a:prstGeom prst="rect"/>
                  </pic:spPr>
                </pic:pic>
              </a:graphicData>
            </a:graphic>
          </wp:inline>
        </w:drawing>
      </w:r>
    </w:p>
    <w:p>
      <w:r>
        <w:t>Confusion matrix on held-out images</w:t>
      </w:r>
    </w:p>
    <w:p>
      <w:pPr>
        <w:pStyle w:val="Heading1"/>
        <w:pageBreakBefore/>
      </w:pPr>
      <w:r>
        <w:t>resnet50 seed42</w:t>
      </w:r>
    </w:p>
    <w:p>
      <w:r>
        <w:t>Seed 42 is a predeclared illustrative run. Use aggregate metrics for model ranking. Epoch indices start at zero; transfer curves concatenate head training and fine-tuning.</w:t>
      </w:r>
    </w:p>
    <w:p>
      <w:r>
        <w:drawing>
          <wp:inline xmlns:a="http://schemas.openxmlformats.org/drawingml/2006/main" xmlns:pic="http://schemas.openxmlformats.org/drawingml/2006/picture">
            <wp:extent cx="5943600" cy="1981200"/>
            <wp:docPr id="9" name="Picture 9"/>
            <wp:cNvGraphicFramePr>
              <a:graphicFrameLocks noChangeAspect="1"/>
            </wp:cNvGraphicFramePr>
            <a:graphic>
              <a:graphicData uri="http://schemas.openxmlformats.org/drawingml/2006/picture">
                <pic:pic>
                  <pic:nvPicPr>
                    <pic:cNvPr id="0" name="training_panel.png"/>
                    <pic:cNvPicPr/>
                  </pic:nvPicPr>
                  <pic:blipFill>
                    <a:blip r:embed="rId17"/>
                    <a:stretch>
                      <a:fillRect/>
                    </a:stretch>
                  </pic:blipFill>
                  <pic:spPr>
                    <a:xfrm>
                      <a:off x="0" y="0"/>
                      <a:ext cx="5943600" cy="1981200"/>
                    </a:xfrm>
                    <a:prstGeom prst="rect"/>
                  </pic:spPr>
                </pic:pic>
              </a:graphicData>
            </a:graphic>
          </wp:inline>
        </w:drawing>
      </w:r>
    </w:p>
    <w:p>
      <w:r>
        <w:t>Training and validation accuracy and loss</w:t>
      </w:r>
    </w:p>
    <w:p>
      <w:r>
        <w:drawing>
          <wp:inline xmlns:a="http://schemas.openxmlformats.org/drawingml/2006/main" xmlns:pic="http://schemas.openxmlformats.org/drawingml/2006/picture">
            <wp:extent cx="4389120" cy="3762103"/>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4389120" cy="3762103"/>
                    </a:xfrm>
                    <a:prstGeom prst="rect"/>
                  </pic:spPr>
                </pic:pic>
              </a:graphicData>
            </a:graphic>
          </wp:inline>
        </w:drawing>
      </w:r>
    </w:p>
    <w:p>
      <w:r>
        <w:t>Confusion matrix on held-out images</w:t>
      </w:r>
    </w:p>
    <w:p>
      <w:pPr>
        <w:pStyle w:val="Heading1"/>
      </w:pPr>
      <w:r>
        <w:t>Limitations</w:t>
      </w:r>
    </w:p>
    <w:p>
      <w:r>
        <w:t>The evaluation uses a small dataset with controlled backgrounds and an imbalanced trash category. Three seeds share one split. Controlled corruptions simulate image degradation and do not demonstrate cross-dataset generalization. Inference timings apply only to the recorded CPU and software configuration. The scratch baseline and pretrained networks differ in architecture as well as initialization, so this experiment does not isolate a causal transfer-learning effect.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