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StylesObject</w:t>
      </w:r>
      <w:r>
        <w:t xml:space="preserve"> </w:t>
      </w:r>
      <w:r>
        <w:t xml:space="preserve">for</w:t>
      </w:r>
      <w:r>
        <w:t xml:space="preserve"> </w:t>
      </w:r>
      <w:r>
        <w:t xml:space="preserve">Dynamic</w:t>
      </w:r>
      <w:r>
        <w:t xml:space="preserve"> </w:t>
      </w:r>
      <w:r>
        <w:t xml:space="preserve">Maps</w:t>
      </w:r>
    </w:p>
    <w:p>
      <w:pPr>
        <w:pStyle w:val="Author"/>
      </w:pPr>
      <w:r>
        <w:t xml:space="preserve">anastasia-ms</w:t>
      </w:r>
    </w:p>
    <w:p>
      <w:pPr>
        <w:pStyle w:val="Heading1"/>
      </w:pPr>
      <w:bookmarkStart w:id="20" w:name="X694aa5fa05a13054a1284bcff57d2bb4e9b43a3"/>
      <w:r>
        <w:t xml:space="preserve">Schema reference guide for the StylesObject in Dynamic Maps</w:t>
      </w:r>
      <w:bookmarkEnd w:id="20"/>
    </w:p>
    <w:p>
      <w:pPr>
        <w:pStyle w:val="FirstParagraph"/>
      </w:pPr>
      <w:r>
        <w:t xml:space="preserve">This article is a reference guide to the JSON schema and syntax for the</w:t>
      </w:r>
      <w:r>
        <w:t xml:space="preserve"> </w:t>
      </w:r>
      <w:r>
        <w:rPr>
          <w:rStyle w:val="VerbatimChar"/>
        </w:rPr>
        <w:t xml:space="preserve">StylesObject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StylesObject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StyleObject</w:t>
      </w:r>
      <w:r>
        <w:t xml:space="preserve"> </w:t>
      </w:r>
      <w:r>
        <w:t xml:space="preserve">array representing stateset styles.</w:t>
      </w:r>
    </w:p>
    <w:p>
      <w:pPr>
        <w:pStyle w:val="Heading2"/>
      </w:pPr>
      <w:bookmarkStart w:id="21" w:name="styleobject"/>
      <w:r>
        <w:t xml:space="preserve">StyleObject</w:t>
      </w:r>
      <w:bookmarkEnd w:id="21"/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StyleObject</w:t>
      </w:r>
      <w:r>
        <w:t xml:space="preserve"> </w:t>
      </w:r>
      <w:r>
        <w:t xml:space="preserve">is expressed either as a</w:t>
      </w:r>
      <w:r>
        <w:t xml:space="preserve"> </w:t>
      </w:r>
      <w:hyperlink w:anchor="booleantypestylerule">
        <w:r>
          <w:rPr>
            <w:rStyle w:val="VerbatimChar"/>
          </w:rPr>
          <w:t xml:space="preserve">BooleanTypeStyleRule</w:t>
        </w:r>
      </w:hyperlink>
      <w:r>
        <w:t xml:space="preserve"> </w:t>
      </w:r>
      <w:r>
        <w:t xml:space="preserve">or a</w:t>
      </w:r>
      <w:r>
        <w:t xml:space="preserve"> </w:t>
      </w:r>
      <w:hyperlink w:anchor="numerictypestylerule">
        <w:r>
          <w:rPr>
            <w:rStyle w:val="VerbatimChar"/>
          </w:rPr>
          <w:t xml:space="preserve">NumericTypeStyleRule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rStyle w:val="VerbatimChar"/>
        </w:rPr>
        <w:t xml:space="preserve">BooleanTypeStyleRule</w:t>
      </w:r>
      <w:r>
        <w:t xml:space="preserve"> </w:t>
      </w:r>
      <w:r>
        <w:t xml:space="preserve">defines a boolean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associated colors for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values. A</w:t>
      </w:r>
      <w:r>
        <w:t xml:space="preserve"> </w:t>
      </w:r>
      <w:r>
        <w:rPr>
          <w:rStyle w:val="VerbatimChar"/>
        </w:rPr>
        <w:t xml:space="preserve">NumericTypeStyleRule</w:t>
      </w:r>
      <w:r>
        <w:t xml:space="preserve"> </w:t>
      </w:r>
      <w:r>
        <w:t xml:space="preserve">defines a numeric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associated colors for numeric ranges.</w:t>
      </w:r>
    </w:p>
    <w:p>
      <w:pPr>
        <w:pStyle w:val="BodyText"/>
      </w:pPr>
      <w:r>
        <w:t xml:space="preserve">The JSON below shows a</w:t>
      </w:r>
      <w:r>
        <w:t xml:space="preserve"> </w:t>
      </w:r>
      <w:r>
        <w:rPr>
          <w:rStyle w:val="VerbatimChar"/>
        </w:rPr>
        <w:t xml:space="preserve">BooleanTypeStyleRule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occupied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NumericTypeStyleRule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ErrorTok"/>
        </w:rPr>
        <w:t xml:space="preserve">"styles":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"occupied"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"false"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"#00FF00"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"exclusiveMaximum"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"#343deb"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"exclusiveMinumum"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"#eba834"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Heading2"/>
      </w:pPr>
      <w:bookmarkStart w:id="22" w:name="numerictypestylerule"/>
      <w:r>
        <w:t xml:space="preserve">NumericTypeStyleRule</w:t>
      </w:r>
      <w:bookmarkEnd w:id="22"/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NumericTypeStyleRule</w:t>
      </w:r>
      <w:r>
        <w:t xml:space="preserve"> </w:t>
      </w:r>
      <w:r>
        <w:t xml:space="preserve">is a type of</w:t>
      </w:r>
      <w:r>
        <w:t xml:space="preserve"> </w:t>
      </w:r>
      <w:hyperlink w:anchor="styleobject">
        <w:r>
          <w:rPr>
            <w:rStyle w:val="VerbatimChar"/>
          </w:rPr>
          <w:t xml:space="preserve">StyleObject</w:t>
        </w:r>
      </w:hyperlink>
      <w:r>
        <w:t xml:space="preserve"> </w:t>
      </w:r>
      <w:r>
        <w:t xml:space="preserve">that defines a numeric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associated colors for numeric ranges.</w:t>
      </w:r>
    </w:p>
    <w:tbl>
      <w:tblPr>
        <w:tblStyle w:val="Table"/>
        <w:tblW w:type="pct" w:w="5000.0"/>
        <w:tblLook w:firstRow="1"/>
      </w:tblPr>
      <w:tblGrid>
        <w:gridCol w:w="1853"/>
        <w:gridCol w:w="1685"/>
        <w:gridCol w:w="2190"/>
        <w:gridCol w:w="2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keyName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i/>
              </w:rPr>
              <w:t xml:space="preserve">state</w:t>
            </w:r>
            <w:r>
              <w:t xml:space="preserve"> </w:t>
            </w:r>
            <w:r>
              <w:t xml:space="preserve">or dynamic property name. A</w:t>
            </w:r>
            <w:r>
              <w:t xml:space="preserve"> </w:t>
            </w:r>
            <w:r>
              <w:rPr>
                <w:rStyle w:val="VerbatimChar"/>
              </w:rPr>
              <w:t xml:space="preserve">keyName</w:t>
            </w:r>
            <w:r>
              <w:t xml:space="preserve"> </w:t>
            </w:r>
            <w:r>
              <w:t xml:space="preserve">should be unique inside</w:t>
            </w:r>
            <w:r>
              <w:t xml:space="preserve"> </w:t>
            </w:r>
            <w:r>
              <w:rPr>
                <w:rStyle w:val="VerbatimChar"/>
              </w:rPr>
              <w:t xml:space="preserve">StyleObject</w:t>
            </w:r>
            <w:r>
              <w:t xml:space="preserve"> </w:t>
            </w:r>
            <w:r>
              <w:t xml:space="preserve">array.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is</w:t>
            </w:r>
            <w:r>
              <w:t xml:space="preserve"> </w:t>
            </w:r>
            <w:r>
              <w:t xml:space="preserve">“</w:t>
            </w:r>
            <w:r>
              <w:t xml:space="preserve">numeric</w:t>
            </w:r>
            <w:r>
              <w:t xml:space="preserve">”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rules</w:t>
            </w:r>
          </w:p>
        </w:tc>
        <w:tc>
          <w:p>
            <w:pPr>
              <w:pStyle w:val="Compact"/>
              <w:jc w:val="left"/>
            </w:pPr>
            <w:hyperlink w:anchor="numberruleobject">
              <w:r>
                <w:rPr>
                  <w:rStyle w:val="VerbatimChar"/>
                </w:rPr>
                <w:t xml:space="preserve">NumberRuleObject</w:t>
              </w:r>
            </w:hyperlink>
            <w:r>
              <w:t xml:space="preserve">[]</w:t>
            </w:r>
          </w:p>
        </w:tc>
        <w:tc>
          <w:p>
            <w:pPr>
              <w:pStyle w:val="Compact"/>
              <w:jc w:val="left"/>
            </w:pPr>
            <w:r>
              <w:t xml:space="preserve">Any number of numeric style ranges with associated colors.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Heading3"/>
      </w:pPr>
      <w:bookmarkStart w:id="23" w:name="example-of-numerictypestylerule"/>
      <w:r>
        <w:t xml:space="preserve">Example of NumericTypeStyleRule</w:t>
      </w:r>
      <w:bookmarkEnd w:id="23"/>
    </w:p>
    <w:p>
      <w:pPr>
        <w:pStyle w:val="FirstParagraph"/>
      </w:pPr>
      <w:r>
        <w:t xml:space="preserve">The following JSON illustrates a</w:t>
      </w:r>
      <w:r>
        <w:t xml:space="preserve"> </w:t>
      </w:r>
      <w:r>
        <w:rPr>
          <w:rStyle w:val="VerbatimChar"/>
        </w:rPr>
        <w:t xml:space="preserve">NumericTypeStyleRule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. In this example, the</w:t>
      </w:r>
      <w:r>
        <w:t xml:space="preserve"> </w:t>
      </w:r>
      <w:hyperlink w:anchor="numberruleobject">
        <w:r>
          <w:rPr>
            <w:rStyle w:val="VerbatimChar"/>
          </w:rPr>
          <w:t xml:space="preserve">NumberRuleObject</w:t>
        </w:r>
      </w:hyperlink>
      <w:r>
        <w:t xml:space="preserve"> </w:t>
      </w:r>
      <w:r>
        <w:t xml:space="preserve">contains two defined temperature ranges and their associated color styles. If the temperature range is 50-69, the display should use the color</w:t>
      </w:r>
      <w:r>
        <w:t xml:space="preserve"> </w:t>
      </w:r>
      <w:r>
        <w:rPr>
          <w:rStyle w:val="VerbatimChar"/>
        </w:rPr>
        <w:t xml:space="preserve">#343deb</w:t>
      </w:r>
      <w:r>
        <w:t xml:space="preserve">. If the temperature range is 31-70, the display should use the color</w:t>
      </w:r>
      <w:r>
        <w:t xml:space="preserve"> </w:t>
      </w:r>
      <w:r>
        <w:rPr>
          <w:rStyle w:val="VerbatimChar"/>
        </w:rPr>
        <w:t xml:space="preserve">#eba834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"exclusiveMaximum"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"#343deb"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"exclusiveMinumum"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"#eba834"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24" w:name="numberruleobject"/>
      <w:r>
        <w:t xml:space="preserve">NumberRuleObject</w:t>
      </w:r>
      <w:bookmarkEnd w:id="24"/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NumberRuleObject</w:t>
      </w:r>
      <w:r>
        <w:t xml:space="preserve"> </w:t>
      </w:r>
      <w:r>
        <w:t xml:space="preserve">consists of a</w:t>
      </w:r>
      <w:r>
        <w:t xml:space="preserve"> </w:t>
      </w:r>
      <w:hyperlink w:anchor="rangeobject">
        <w:r>
          <w:rPr>
            <w:rStyle w:val="VerbatimChar"/>
          </w:rPr>
          <w:t xml:space="preserve">RangeObject</w:t>
        </w:r>
      </w:hyperlink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attribute. If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value falls into the range, its color for display will be the color specified in the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attribute.</w:t>
      </w:r>
    </w:p>
    <w:tbl>
      <w:tblPr>
        <w:tblStyle w:val="Table"/>
        <w:tblW w:type="pct" w:w="5000.0"/>
        <w:tblLook w:firstRow="1"/>
      </w:tblPr>
      <w:tblGrid>
        <w:gridCol w:w="1853"/>
        <w:gridCol w:w="1685"/>
        <w:gridCol w:w="2190"/>
        <w:gridCol w:w="2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range</w:t>
            </w:r>
          </w:p>
        </w:tc>
        <w:tc>
          <w:p>
            <w:pPr>
              <w:pStyle w:val="Compact"/>
              <w:jc w:val="left"/>
            </w:pPr>
            <w:hyperlink w:anchor="rangeobject">
              <w:r>
                <w:rPr>
                  <w:rStyle w:val="Hyperlink"/>
                </w:rPr>
                <w:t xml:space="preserve">RangeObject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hyperlink w:anchor="rangeobject">
              <w:r>
                <w:rPr>
                  <w:rStyle w:val="Hyperlink"/>
                </w:rPr>
                <w:t xml:space="preserve">RangeObject</w:t>
              </w:r>
            </w:hyperlink>
            <w:r>
              <w:t xml:space="preserve"> </w:t>
            </w:r>
            <w:r>
              <w:t xml:space="preserve">defines a set of logical range conditions which, if</w:t>
            </w:r>
            <w:r>
              <w:t xml:space="preserve"> </w:t>
            </w:r>
            <w:r>
              <w:rPr>
                <w:rStyle w:val="VerbatimChar"/>
              </w:rPr>
              <w:t xml:space="preserve">true</w:t>
            </w:r>
            <w:r>
              <w:t xml:space="preserve">, change the display color of the</w:t>
            </w:r>
            <w:r>
              <w:t xml:space="preserve"> </w:t>
            </w:r>
            <w:r>
              <w:rPr>
                <w:i/>
              </w:rPr>
              <w:t xml:space="preserve">state</w:t>
            </w:r>
            <w:r>
              <w:t xml:space="preserve"> </w:t>
            </w:r>
            <w:r>
              <w:t xml:space="preserve">to the color specified in the</w:t>
            </w:r>
            <w:r>
              <w:t xml:space="preserve"> </w:t>
            </w:r>
            <w:r>
              <w:rPr>
                <w:rStyle w:val="VerbatimChar"/>
              </w:rPr>
              <w:t xml:space="preserve">color</w:t>
            </w:r>
            <w:r>
              <w:t xml:space="preserve"> </w:t>
            </w:r>
            <w:r>
              <w:t xml:space="preserve">attribute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|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| string | The color to use when state value falls into the range. The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attribute is a JSON string in any one of following formats:</w:t>
      </w:r>
    </w:p>
    <w:p>
      <w:pPr>
        <w:pStyle w:val="BodyText"/>
      </w:pPr>
      <w:r>
        <w:t xml:space="preserve">HTML-style hex values</w:t>
      </w:r>
    </w:p>
    <w:p>
      <w:pPr>
        <w:pStyle w:val="BodyText"/>
      </w:pPr>
      <w:r>
        <w:t xml:space="preserve">RGB (</w:t>
      </w:r>
      <w:r>
        <w:t xml:space="preserve">“</w:t>
      </w:r>
      <w:r>
        <w:t xml:space="preserve">#ff0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#ffff00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rgb(255, 255, 0)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RGBA (</w:t>
      </w:r>
      <w:r>
        <w:t xml:space="preserve">“</w:t>
      </w:r>
      <w:r>
        <w:t xml:space="preserve">rgba(255, 255, 0, 1)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HSL(</w:t>
      </w:r>
      <w:r>
        <w:t xml:space="preserve">“</w:t>
      </w:r>
      <w:r>
        <w:t xml:space="preserve">hsl(100, 50%, 50%)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HSLA(</w:t>
      </w:r>
      <w:r>
        <w:t xml:space="preserve">“</w:t>
      </w:r>
      <w:r>
        <w:t xml:space="preserve">hsla(100, 50%, 50%, 1)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Predefined HTML colors names, like yellow and blue.</w:t>
      </w:r>
    </w:p>
    <w:p>
      <w:pPr>
        <w:pStyle w:val="BodyText"/>
      </w:pPr>
      <w:r>
        <w:t xml:space="preserve">| Yes |</w:t>
      </w:r>
    </w:p>
    <w:p>
      <w:pPr>
        <w:pStyle w:val="Heading3"/>
      </w:pPr>
      <w:bookmarkStart w:id="25" w:name="example-of-numberruleobject"/>
      <w:r>
        <w:t xml:space="preserve">Example of NumberRuleObject</w:t>
      </w:r>
      <w:bookmarkEnd w:id="25"/>
    </w:p>
    <w:p>
      <w:pPr>
        <w:pStyle w:val="FirstParagraph"/>
      </w:pPr>
      <w:r>
        <w:t xml:space="preserve">The following JSON shows a</w:t>
      </w:r>
      <w:r>
        <w:t xml:space="preserve"> </w:t>
      </w:r>
      <w:r>
        <w:rPr>
          <w:rStyle w:val="VerbatimChar"/>
        </w:rPr>
        <w:t xml:space="preserve">RangeObject</w:t>
      </w:r>
      <w:r>
        <w:t xml:space="preserve">. In order for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to fall within the range, its value must be inclusively within a range of 50-69. If it falls within the range, the</w:t>
      </w:r>
      <w:r>
        <w:t xml:space="preserve"> </w:t>
      </w:r>
      <w:r>
        <w:rPr>
          <w:i/>
        </w:rPr>
        <w:t xml:space="preserve">color</w:t>
      </w:r>
      <w:r>
        <w:t xml:space="preserve"> </w:t>
      </w:r>
      <w:r>
        <w:t xml:space="preserve">for display will be</w:t>
      </w:r>
      <w:r>
        <w:t xml:space="preserve"> </w:t>
      </w:r>
      <w:r>
        <w:rPr>
          <w:rStyle w:val="VerbatimChar"/>
        </w:rPr>
        <w:t xml:space="preserve">#343deb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"exclusiveMaximum"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"#343deb"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26" w:name="rangeobject"/>
      <w:r>
        <w:t xml:space="preserve">RangeObject</w:t>
      </w:r>
      <w:bookmarkEnd w:id="2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RangeObject</w:t>
      </w:r>
      <w:r>
        <w:t xml:space="preserve"> </w:t>
      </w:r>
      <w:r>
        <w:t xml:space="preserve">defines a numeric range value of a</w:t>
      </w:r>
      <w:r>
        <w:t xml:space="preserve"> </w:t>
      </w:r>
      <w:hyperlink w:anchor="numberruleobject">
        <w:r>
          <w:rPr>
            <w:rStyle w:val="VerbatimChar"/>
          </w:rPr>
          <w:t xml:space="preserve">NumberRuleObject</w:t>
        </w:r>
      </w:hyperlink>
      <w:r>
        <w:t xml:space="preserve">. For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value to fall into the range, all defined conditions must hold true. For an example, see</w:t>
      </w:r>
      <w:r>
        <w:t xml:space="preserve"> </w:t>
      </w:r>
      <w:hyperlink w:anchor="numberruleobject">
        <w:r>
          <w:rPr>
            <w:rStyle w:val="VerbatimChar"/>
          </w:rPr>
          <w:t xml:space="preserve">NumberRuleObject</w:t>
        </w:r>
      </w:hyperlink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minimum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All the number x that x ≥</w:t>
            </w:r>
            <w:r>
              <w:t xml:space="preserve"> </w:t>
            </w:r>
            <w:r>
              <w:rPr>
                <w:rStyle w:val="VerbatimChar"/>
              </w:rPr>
              <w:t xml:space="preserve">minimum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maximum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All the number x that x ≤</w:t>
            </w:r>
            <w:r>
              <w:t xml:space="preserve"> </w:t>
            </w:r>
            <w:r>
              <w:rPr>
                <w:rStyle w:val="VerbatimChar"/>
              </w:rPr>
              <w:t xml:space="preserve">maximum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exclusiveMinumum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All the number x that x &gt;</w:t>
            </w:r>
            <w:r>
              <w:t xml:space="preserve"> </w:t>
            </w:r>
            <w:r>
              <w:rPr>
                <w:rStyle w:val="VerbatimChar"/>
              </w:rPr>
              <w:t xml:space="preserve">exclusiveMinumum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exclusiveMaximum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All the number x that x &lt;</w:t>
            </w:r>
            <w:r>
              <w:t xml:space="preserve"> </w:t>
            </w:r>
            <w:r>
              <w:rPr>
                <w:rStyle w:val="VerbatimChar"/>
              </w:rPr>
              <w:t xml:space="preserve">exclusiveMaximum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p>
      <w:pPr>
        <w:pStyle w:val="Heading3"/>
      </w:pPr>
      <w:bookmarkStart w:id="27" w:name="example-of-rangeobject"/>
      <w:r>
        <w:t xml:space="preserve">Example of RangeObject</w:t>
      </w:r>
      <w:bookmarkEnd w:id="27"/>
    </w:p>
    <w:p>
      <w:pPr>
        <w:pStyle w:val="FirstParagraph"/>
      </w:pPr>
      <w:r>
        <w:t xml:space="preserve">The following JSON shows a</w:t>
      </w:r>
      <w:r>
        <w:t xml:space="preserve"> </w:t>
      </w:r>
      <w:r>
        <w:rPr>
          <w:rStyle w:val="VerbatimChar"/>
        </w:rPr>
        <w:t xml:space="preserve">RangeObject</w:t>
      </w:r>
      <w:r>
        <w:t xml:space="preserve">. In order for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to fall within the range, its value must be inclusively within a range of 50-69.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"exclusiveMaximum"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28" w:name="booleantypestylerule"/>
      <w:r>
        <w:t xml:space="preserve">BooleanTypeStyleRule</w:t>
      </w:r>
      <w:bookmarkEnd w:id="28"/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BooleanTypeStyleRule</w:t>
      </w:r>
      <w:r>
        <w:t xml:space="preserve"> </w:t>
      </w:r>
      <w:r>
        <w:t xml:space="preserve">defines a boolean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associated colors for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values.</w:t>
      </w:r>
    </w:p>
    <w:tbl>
      <w:tblPr>
        <w:tblStyle w:val="Table"/>
        <w:tblW w:type="pct" w:w="5000.0"/>
        <w:tblLook w:firstRow="1"/>
      </w:tblPr>
      <w:tblGrid>
        <w:gridCol w:w="1853"/>
        <w:gridCol w:w="1685"/>
        <w:gridCol w:w="2190"/>
        <w:gridCol w:w="2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keyName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i/>
              </w:rPr>
              <w:t xml:space="preserve">state</w:t>
            </w:r>
            <w:r>
              <w:t xml:space="preserve"> </w:t>
            </w:r>
            <w:r>
              <w:t xml:space="preserve">or dynamic property name. A</w:t>
            </w:r>
            <w:r>
              <w:t xml:space="preserve"> </w:t>
            </w:r>
            <w:r>
              <w:rPr>
                <w:rStyle w:val="VerbatimChar"/>
              </w:rPr>
              <w:t xml:space="preserve">keyName</w:t>
            </w:r>
            <w:r>
              <w:t xml:space="preserve"> </w:t>
            </w:r>
            <w:r>
              <w:t xml:space="preserve">should be unique inside style array.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is</w:t>
            </w:r>
            <w:r>
              <w:t xml:space="preserve"> </w:t>
            </w:r>
            <w:r>
              <w:t xml:space="preserve">“</w:t>
            </w:r>
            <w:r>
              <w:t xml:space="preserve">boolean</w:t>
            </w:r>
            <w:r>
              <w:t xml:space="preserve">”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rules</w:t>
            </w:r>
          </w:p>
        </w:tc>
        <w:tc>
          <w:p>
            <w:pPr>
              <w:pStyle w:val="Compact"/>
              <w:jc w:val="left"/>
            </w:pPr>
            <w:hyperlink w:anchor="booleanruleobject">
              <w:r>
                <w:rPr>
                  <w:rStyle w:val="VerbatimChar"/>
                </w:rPr>
                <w:t xml:space="preserve">BooleanRuleObject</w:t>
              </w:r>
            </w:hyperlink>
            <w:r>
              <w:t xml:space="preserve">[1]</w:t>
            </w:r>
          </w:p>
        </w:tc>
        <w:tc>
          <w:p>
            <w:pPr>
              <w:pStyle w:val="Compact"/>
              <w:jc w:val="left"/>
            </w:pPr>
            <w:r>
              <w:t xml:space="preserve">A boolean pair with colors for</w:t>
            </w:r>
            <w:r>
              <w:t xml:space="preserve"> </w:t>
            </w:r>
            <w:r>
              <w:rPr>
                <w:rStyle w:val="VerbatimChar"/>
              </w:rPr>
              <w:t xml:space="preserve">true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false</w:t>
            </w:r>
            <w:r>
              <w:t xml:space="preserve"> </w:t>
            </w:r>
            <w:r>
              <w:rPr>
                <w:i/>
              </w:rPr>
              <w:t xml:space="preserve">state</w:t>
            </w:r>
            <w:r>
              <w:t xml:space="preserve"> </w:t>
            </w:r>
            <w:r>
              <w:t xml:space="preserve">values.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Heading3"/>
      </w:pPr>
      <w:bookmarkStart w:id="29" w:name="example-of-booleantypestylerule"/>
      <w:r>
        <w:t xml:space="preserve">Example of BooleanTypeStyleRule</w:t>
      </w:r>
      <w:bookmarkEnd w:id="29"/>
    </w:p>
    <w:p>
      <w:pPr>
        <w:pStyle w:val="FirstParagraph"/>
      </w:pPr>
      <w:r>
        <w:t xml:space="preserve">The following JSON illustrates a</w:t>
      </w:r>
      <w:r>
        <w:t xml:space="preserve"> </w:t>
      </w:r>
      <w:r>
        <w:rPr>
          <w:rStyle w:val="VerbatimChar"/>
        </w:rPr>
        <w:t xml:space="preserve">BooleanTypeStyleRule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occupied</w:t>
      </w:r>
      <w:r>
        <w:t xml:space="preserve">. The</w:t>
      </w:r>
      <w:r>
        <w:t xml:space="preserve"> </w:t>
      </w:r>
      <w:hyperlink w:anchor="booleanruleobject">
        <w:r>
          <w:rPr>
            <w:rStyle w:val="VerbatimChar"/>
          </w:rPr>
          <w:t xml:space="preserve">BooleanRuleObject</w:t>
        </w:r>
      </w:hyperlink>
      <w:r>
        <w:t xml:space="preserve"> </w:t>
      </w:r>
      <w:r>
        <w:t xml:space="preserve">defines colors for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values.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"occupied"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"false"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"#00FF00"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30" w:name="booleanruleobject"/>
      <w:r>
        <w:t xml:space="preserve">BooleanRuleObject</w:t>
      </w:r>
      <w:bookmarkEnd w:id="30"/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BooleanRuleObject</w:t>
      </w:r>
      <w:r>
        <w:t xml:space="preserve"> </w:t>
      </w:r>
      <w:r>
        <w:t xml:space="preserve">defines colors for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values..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</w:tr>
    </w:tbl>
    <w:p>
      <w:pPr>
        <w:pStyle w:val="BodyText"/>
      </w:pPr>
      <w:r>
        <w:t xml:space="preserve">|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| string | The color to use when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value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The color to use when state value falls into the range. The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attribute is a JSON string in any one of following formats:</w:t>
      </w:r>
    </w:p>
    <w:p>
      <w:pPr>
        <w:pStyle w:val="BodyText"/>
      </w:pPr>
      <w:r>
        <w:t xml:space="preserve">HTML-style hex values</w:t>
      </w:r>
    </w:p>
    <w:p>
      <w:pPr>
        <w:pStyle w:val="BodyText"/>
      </w:pPr>
      <w:r>
        <w:t xml:space="preserve">RGB (</w:t>
      </w:r>
      <w:r>
        <w:t xml:space="preserve">“</w:t>
      </w:r>
      <w:r>
        <w:t xml:space="preserve">#ff0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#ffff00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rgb(255, 255, 0)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RGBA (</w:t>
      </w:r>
      <w:r>
        <w:t xml:space="preserve">“</w:t>
      </w:r>
      <w:r>
        <w:t xml:space="preserve">rgba(255, 255, 0, 1)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HSL(</w:t>
      </w:r>
      <w:r>
        <w:t xml:space="preserve">“</w:t>
      </w:r>
      <w:r>
        <w:t xml:space="preserve">hsl(100, 50%, 50%)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HSLA(</w:t>
      </w:r>
      <w:r>
        <w:t xml:space="preserve">“</w:t>
      </w:r>
      <w:r>
        <w:t xml:space="preserve">hsla(100, 50%, 50%, 1)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Predefined HTML colors names, like yellow and blue.</w:t>
      </w:r>
    </w:p>
    <w:p>
      <w:pPr>
        <w:pStyle w:val="BodyText"/>
      </w:pPr>
      <w:r>
        <w:t xml:space="preserve">Yes |</w:t>
      </w:r>
      <w:r>
        <w:br/>
      </w:r>
      <w:r>
        <w:rPr>
          <w:rStyle w:val="VerbatimChar"/>
        </w:rPr>
        <w:t xml:space="preserve">false</w:t>
      </w:r>
      <w:r>
        <w:t xml:space="preserve"> </w:t>
      </w:r>
      <w:r>
        <w:t xml:space="preserve">| string | The color to use when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value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| Yes |</w:t>
      </w:r>
    </w:p>
    <w:p>
      <w:pPr>
        <w:pStyle w:val="Heading3"/>
      </w:pPr>
      <w:bookmarkStart w:id="31" w:name="example-of-booleanruleobject"/>
      <w:r>
        <w:t xml:space="preserve">Example of BooleanRuleObject</w:t>
      </w:r>
      <w:bookmarkEnd w:id="31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"true"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"false"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"#00FF00"</w:t>
      </w:r>
      <w:r>
        <w:br/>
      </w:r>
      <w:r>
        <w:rPr>
          <w:rStyle w:val="FunctionTok"/>
        </w:rPr>
        <w:t xml:space="preserve">}</w:t>
      </w:r>
    </w:p>
    <w:p>
      <w:pPr>
        <w:pStyle w:val="Heading2"/>
      </w:pPr>
      <w:bookmarkStart w:id="32" w:name="next-steps"/>
      <w:r>
        <w:t xml:space="preserve">Next Steps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StylesObject for Dynamic Maps</dc:title>
  <dc:creator>anastasia-ms</dc:creator>
  <dc:description>Reference guide to the JSON schema and syntax for the StylesObject used in creating Dynamic Maps.</dc:description>
  <cp:keywords/>
  <dcterms:created xsi:type="dcterms:W3CDTF">2020-05-26T18:48:44Z</dcterms:created>
  <dcterms:modified xsi:type="dcterms:W3CDTF">2020-05-26T18:48:44Z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ager">
    <vt:lpwstr>philmea</vt:lpwstr>
  </property>
  <property fmtid="{D5CDD505-2E9C-101B-9397-08002B2CF9AE}" pid="3" name="ms.author">
    <vt:lpwstr>v-stharr</vt:lpwstr>
  </property>
  <property fmtid="{D5CDD505-2E9C-101B-9397-08002B2CF9AE}" pid="4" name="ms.date">
    <vt:lpwstr>05/25/2020</vt:lpwstr>
  </property>
  <property fmtid="{D5CDD505-2E9C-101B-9397-08002B2CF9AE}" pid="5" name="ms.service">
    <vt:lpwstr>azure-maps</vt:lpwstr>
  </property>
  <property fmtid="{D5CDD505-2E9C-101B-9397-08002B2CF9AE}" pid="6" name="ms.topic">
    <vt:lpwstr>reference</vt:lpwstr>
  </property>
  <property fmtid="{D5CDD505-2E9C-101B-9397-08002B2CF9AE}" pid="7" name="services">
    <vt:lpwstr>azure-maps</vt:lpwstr>
  </property>
</Properties>
</file>