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sz w:val="44"/>
          <w:szCs w:val="44"/>
        </w:rPr>
        <w:t xml:space="preserve">Forensic Scientific Review</w:t>
      </w:r>
    </w:p>
    <w:p>
      <w:pPr>
        <w:spacing w:after="120"/>
        <w:jc w:val="center"/>
      </w:pPr>
      <w:r>
        <w:rPr>
          <w:b/>
          <w:bCs/>
          <w:color w:val="1F3A5F"/>
          <w:sz w:val="32"/>
          <w:szCs w:val="32"/>
        </w:rPr>
        <w:t xml:space="preserve">okBATHTUB v0.1.0</w:t>
      </w:r>
    </w:p>
    <w:p>
      <w:pPr>
        <w:spacing w:after="480"/>
        <w:jc w:val="center"/>
      </w:pPr>
      <w:r>
        <w:rPr>
          <w:i/>
          <w:iCs/>
          <w:color w:val="555555"/>
          <w:sz w:val="24"/>
          <w:szCs w:val="24"/>
        </w:rPr>
        <w:t xml:space="preserve">Reservoir Eutrophication Modeling for Oklahoma Lakes</w:t>
      </w:r>
    </w:p>
    <w:p>
      <w:pPr>
        <w:spacing w:after="120"/>
        <w:jc w:val="center"/>
      </w:pPr>
      <w:r>
        <w:rPr>
          <w:sz w:val="20"/>
          <w:szCs w:val="20"/>
        </w:rPr>
        <w:t xml:space="preserve">Prepared at the author's request, May 11, 2026</w:t>
      </w:r>
    </w:p>
    <w:p>
      <w:pPr>
        <w:spacing w:after="1200"/>
        <w:jc w:val="center"/>
      </w:pPr>
      <w:r>
        <w:rPr>
          <w:i/>
          <w:iCs/>
          <w:color w:val="777777"/>
          <w:sz w:val="20"/>
          <w:szCs w:val="20"/>
        </w:rPr>
        <w:t xml:space="preserve">Independent code &amp; methodology review — package was submitted to CRAN prior to this review</w:t>
      </w:r>
    </w:p>
    <w:p>
      <w:pPr>
        <w:pStyle w:val="Heading1"/>
        <w:spacing w:after="180" w:before="360"/>
      </w:pPr>
      <w:r>
        <w:t xml:space="preserve">Executive Summary</w:t>
      </w:r>
    </w:p>
    <w:p>
      <w:pPr>
        <w:spacing w:after="120"/>
      </w:pPr>
      <w:r>
        <w:t xml:space="preserve">okBATHTUB v0.1.0 is a thoughtfully-structured R package that implements a pipe-based, S3-class workflow for reservoir trophic-state modeling, with custom Oklahoma calibration coefficients layered onto a Walker-style framework. The code is clean, the test coverage is reasonable for an initial CRAN submission, and the pipeline design (load → hydraulics → retention → in-lake → TSI) is a sensible API choice.</w:t>
      </w:r>
    </w:p>
    <w:p>
      <w:pPr>
        <w:spacing w:after="120"/>
      </w:pPr>
      <w:r>
        <w:t xml:space="preserve">That said, this review identified </w:t>
      </w:r>
      <w:r>
        <w:rPr>
          <w:b/>
          <w:bCs/>
        </w:rPr>
        <w:t xml:space="preserve">18 distinct issues</w:t>
      </w:r>
      <w:r>
        <w:t xml:space="preserve"> spanning scientific fidelity, data integrity, CRAN policy, and legal/authorship clarity. The most serious are:</w:t>
      </w:r>
    </w:p>
    <w:p>
      <w:pPr>
        <w:pStyle w:val="ListParagraph"/>
        <w:numPr>
          <w:ilvl w:val="0"/>
          <w:numId w:val="2"/>
        </w:numPr>
        <w:spacing w:after="60"/>
      </w:pPr>
      <w:r>
        <w:rPr>
          <w:b/>
          <w:bCs/>
          <w:color w:val="C0392B"/>
        </w:rPr>
        <w:t xml:space="preserve">BLOCKER </w:t>
      </w:r>
      <w:r>
        <w:t xml:space="preserve">— the bundled </w:t>
      </w:r>
      <w:r>
        <w:rPr>
          <w:rFonts w:ascii="Courier New" w:cs="Courier New" w:eastAsia="Courier New" w:hAnsi="Courier New"/>
        </w:rPr>
        <w:t xml:space="preserve">ok_reservoirs.rda</w:t>
      </w:r>
      <w:r>
        <w:t xml:space="preserve"> dataset is empty (0 rows). The README, the function documentation, and </w:t>
      </w:r>
      <w:r>
        <w:rPr>
          <w:rFonts w:ascii="Courier New" w:cs="Courier New" w:eastAsia="Courier New" w:hAnsi="Courier New"/>
        </w:rPr>
        <w:t xml:space="preserve">ok_reservoir_summary()</w:t>
      </w:r>
      <w:r>
        <w:t xml:space="preserve"> all promise 123 Oklahoma reservoirs; the file ships with header columns only. A vignette contains a manual fallback that strongly suggests the author was aware of this and worked around it rather than populating the dataset.</w:t>
      </w:r>
    </w:p>
    <w:p>
      <w:pPr>
        <w:pStyle w:val="ListParagraph"/>
        <w:numPr>
          <w:ilvl w:val="0"/>
          <w:numId w:val="2"/>
        </w:numPr>
        <w:spacing w:after="60"/>
      </w:pPr>
      <w:r>
        <w:rPr>
          <w:b/>
          <w:bCs/>
          <w:color w:val="C0392B"/>
        </w:rPr>
        <w:t xml:space="preserve">BLOCKER </w:t>
      </w:r>
      <w:r>
        <w:t xml:space="preserve">— exported function </w:t>
      </w:r>
      <w:r>
        <w:rPr>
          <w:rFonts w:ascii="Courier New" w:cs="Courier New" w:eastAsia="Courier New" w:hAnsi="Courier New"/>
        </w:rPr>
        <w:t xml:space="preserve">ok_project_path()</w:t>
      </w:r>
      <w:r>
        <w:t xml:space="preserve"> hard-codes a personal OneDrive path under </w:t>
      </w:r>
      <w:r>
        <w:rPr>
          <w:rFonts w:ascii="Courier New" w:cs="Courier New" w:eastAsia="Courier New" w:hAnsi="Courier New"/>
        </w:rPr>
        <w:t xml:space="preserve">USERPROFILE</w:t>
      </w:r>
      <w:r>
        <w:t xml:space="preserve">, which (a) only works on Windows and (b) only works on Jordon's machine. CRAN winbuilder / r-hub Linux checks will return empty/missing paths.</w:t>
      </w:r>
    </w:p>
    <w:p>
      <w:pPr>
        <w:pStyle w:val="ListParagraph"/>
        <w:numPr>
          <w:ilvl w:val="0"/>
          <w:numId w:val="2"/>
        </w:numPr>
        <w:spacing w:after="60"/>
      </w:pPr>
      <w:r>
        <w:rPr>
          <w:b/>
          <w:bCs/>
          <w:color w:val="D35400"/>
        </w:rPr>
        <w:t xml:space="preserve">MAJOR (scientific) </w:t>
      </w:r>
      <w:r>
        <w:t xml:space="preserve">— the package's TP retention model is repeatedly labeled the "Walker BATHTUB default" in the README, the vignette, and the function documentation, but the implemented formula </w:t>
      </w:r>
      <w:r>
        <w:rPr>
          <w:rFonts w:ascii="Courier New" w:cs="Courier New" w:eastAsia="Courier New" w:hAnsi="Courier New"/>
        </w:rPr>
        <w:t xml:space="preserve">R = 1/(1+1/√τ)</w:t>
      </w:r>
      <w:r>
        <w:t xml:space="preserve"> is the Larsen-Mercier (1976) form, equivalent to Walker BATHTUB Model 5 (Vollenweider 1976, Northern Lakes) — explicitly flagged by Walker as not calibrated to Corps of Engineers reservoir data. The actual BATHTUB default is Model 1, a second-order "available P" model whose predictions for a Cross Timbers-like reservoir differ by ~40%.</w:t>
      </w:r>
    </w:p>
    <w:p>
      <w:pPr>
        <w:pStyle w:val="ListParagraph"/>
        <w:numPr>
          <w:ilvl w:val="0"/>
          <w:numId w:val="2"/>
        </w:numPr>
        <w:spacing w:after="60"/>
      </w:pPr>
      <w:r>
        <w:rPr>
          <w:b/>
          <w:bCs/>
          <w:color w:val="D35400"/>
        </w:rPr>
        <w:t xml:space="preserve">MAJOR (scientific) </w:t>
      </w:r>
      <w:r>
        <w:t xml:space="preserve">— the AWQMS TN reconstruction in </w:t>
      </w:r>
      <w:r>
        <w:rPr>
          <w:rFonts w:ascii="Courier New" w:cs="Courier New" w:eastAsia="Courier New" w:hAnsi="Courier New"/>
        </w:rPr>
        <w:t xml:space="preserve">ok_from_awqms()</w:t>
      </w:r>
      <w:r>
        <w:t xml:space="preserve"> sums seven different nitrogen characteristics under one rolled-up </w:t>
      </w:r>
      <w:r>
        <w:rPr>
          <w:rFonts w:ascii="Courier New" w:cs="Courier New" w:eastAsia="Courier New" w:hAnsi="Courier New"/>
        </w:rPr>
        <w:t xml:space="preserve">tn_component</w:t>
      </w:r>
      <w:r>
        <w:t xml:space="preserve"> group. Several pairs are partially or fully redundant (TKN vs. Kjeldahl N; Ammonia vs. Ammonia/ammonium; NO3+NO2 vs. separate NO3 and NO2). Double-counting nitrogen mass in the calibration pipeline would propagate forward into any future re-fit.</w:t>
      </w:r>
    </w:p>
    <w:p>
      <w:pPr>
        <w:pStyle w:val="ListParagraph"/>
        <w:numPr>
          <w:ilvl w:val="0"/>
          <w:numId w:val="2"/>
        </w:numPr>
        <w:spacing w:after="60"/>
      </w:pPr>
      <w:r>
        <w:rPr>
          <w:b/>
          <w:bCs/>
          <w:color w:val="D35400"/>
        </w:rPr>
        <w:t xml:space="preserve">MAJOR (CRAN/security) </w:t>
      </w:r>
      <w:r>
        <w:t xml:space="preserve">— the AWQMS connection defaults hard-code OWRB's internal SQL Server hostname, port, and username. CRAN does not love internal-infrastructure leakage in public packages and OWRB IT likely doesn't either.</w:t>
      </w:r>
    </w:p>
    <w:p>
      <w:pPr>
        <w:pStyle w:val="ListParagraph"/>
        <w:numPr>
          <w:ilvl w:val="0"/>
          <w:numId w:val="2"/>
        </w:numPr>
        <w:spacing w:after="60"/>
      </w:pPr>
      <w:r>
        <w:rPr>
          <w:b/>
          <w:bCs/>
          <w:color w:val="D35400"/>
        </w:rPr>
        <w:t xml:space="preserve">MAJOR (legal) </w:t>
      </w:r>
      <w:r>
        <w:t xml:space="preserve">— the README's "developed by Jordon Henderson in a personal capacity" sentence is incompatible with the DESCRIPTION (which lists OWRB as copyright holder), the LICENSE file (which lists OWRB), the plot captions (which embed "OWRB Water Quality Division"), and the author email (work address). This needs to be sorted out unambiguously before public distribution. The userMemories context also notes that earlier related work required "written agency approval before any commercial use" — the same question almost certainly applies here.</w:t>
      </w:r>
    </w:p>
    <w:p>
      <w:pPr>
        <w:spacing w:after="120"/>
      </w:pPr>
      <w:r>
        <w:t xml:space="preserve">None of the above are unfixable, but most are visible enough that a CRAN reviewer or an outside scientific reader would catch them. I would strongly recommend </w:t>
      </w:r>
      <w:r>
        <w:rPr>
          <w:b/>
          <w:bCs/>
        </w:rPr>
        <w:t xml:space="preserve">withdrawing the current CRAN submission</w:t>
      </w:r>
      <w:r>
        <w:t xml:space="preserve">, addressing at minimum items 1, 2, 3, 5, 6, and 7 below, and re-submitting.</w:t>
      </w:r>
    </w:p>
    <w:p>
      <w:pPr>
        <w:pStyle w:val="Heading1"/>
        <w:spacing w:after="180" w:before="360"/>
      </w:pPr>
      <w:r>
        <w:t xml:space="preserve">How this review was performed</w:t>
      </w:r>
    </w:p>
    <w:p>
      <w:pPr>
        <w:spacing w:after="120"/>
      </w:pPr>
      <w:r>
        <w:rPr>
          <w:b/>
          <w:bCs/>
        </w:rPr>
        <w:t xml:space="preserve">Scope:</w:t>
      </w:r>
      <w:r>
        <w:t xml:space="preserve"> the full source distribution (DESCRIPTION, NAMESPACE, all R/, tests/testthat/, man/, vignettes/, data/, inst/, LICENSE) was unpacked and reviewed file by file. The bundled </w:t>
      </w:r>
      <w:r>
        <w:rPr>
          <w:rFonts w:ascii="Courier New" w:cs="Courier New" w:eastAsia="Courier New" w:hAnsi="Courier New"/>
        </w:rPr>
        <w:t xml:space="preserve">ok_reservoirs.rda</w:t>
      </w:r>
      <w:r>
        <w:t xml:space="preserve"> was read with pyreadr to confirm contents. Numerical predictions from the documented example were replayed in Python and compared against the README's printed </w:t>
      </w:r>
      <w:r>
        <w:rPr>
          <w:rFonts w:ascii="Courier New" w:cs="Courier New" w:eastAsia="Courier New" w:hAnsi="Courier New"/>
        </w:rPr>
        <w:t xml:space="preserve">summary()</w:t>
      </w:r>
      <w:r>
        <w:t xml:space="preserve"> output, and against the canonical Walker BATHTUB Model 1 and Model 3 equations sourced from Walker's own help documentation (wwwalker.net/bathtub/help/table_options.htm). The Larsen-Mercier and Carlson references were verified against the primary literature.</w:t>
      </w:r>
    </w:p>
    <w:p>
      <w:pPr>
        <w:spacing w:after="120"/>
      </w:pPr>
      <w:r>
        <w:rPr>
          <w:b/>
          <w:bCs/>
        </w:rPr>
        <w:t xml:space="preserve">What this review is not:</w:t>
      </w:r>
      <w:r>
        <w:t xml:space="preserve"> R itself is not available in this environment, so the package was not actually built (R CMD build / R CMD check). The findings below describe issues a check run would surface or that a reviewer would flag, but the specific check warnings and error counts are not enumerated. Running R CMD check --as-cran locally before resubmission is essential.</w:t>
      </w:r>
    </w:p>
    <w:p>
      <w:pPr>
        <w:pStyle w:val="Heading1"/>
        <w:spacing w:after="180" w:before="360"/>
      </w:pPr>
      <w:r>
        <w:t xml:space="preserve">Findings — at a glance</w:t>
      </w:r>
    </w:p>
    <w:p>
      <w:pPr>
        <w:spacing w:after="120"/>
      </w:pPr>
      <w:r>
        <w:t xml:space="preserve">Severity definitions used below: </w:t>
      </w:r>
    </w:p>
    <w:p>
      <w:pPr>
        <w:pStyle w:val="ListParagraph"/>
        <w:numPr>
          <w:ilvl w:val="0"/>
          <w:numId w:val="2"/>
        </w:numPr>
        <w:spacing w:after="60"/>
      </w:pPr>
      <w:r>
        <w:rPr>
          <w:b/>
          <w:bCs/>
          <w:color w:val="C0392B"/>
        </w:rPr>
        <w:t xml:space="preserve">BLOCKER </w:t>
      </w:r>
      <w:r>
        <w:t xml:space="preserve">— prevents the package from functioning as documented, or from passing CRAN intake.</w:t>
      </w:r>
    </w:p>
    <w:p>
      <w:pPr>
        <w:pStyle w:val="ListParagraph"/>
        <w:numPr>
          <w:ilvl w:val="0"/>
          <w:numId w:val="2"/>
        </w:numPr>
        <w:spacing w:after="60"/>
      </w:pPr>
      <w:r>
        <w:rPr>
          <w:b/>
          <w:bCs/>
          <w:color w:val="D35400"/>
        </w:rPr>
        <w:t xml:space="preserve">MAJOR </w:t>
      </w:r>
      <w:r>
        <w:t xml:space="preserve">— meaningful scientific, legal, or policy concern that should be fixed before publication.</w:t>
      </w:r>
    </w:p>
    <w:p>
      <w:pPr>
        <w:pStyle w:val="ListParagraph"/>
        <w:numPr>
          <w:ilvl w:val="0"/>
          <w:numId w:val="2"/>
        </w:numPr>
        <w:spacing w:after="60"/>
      </w:pPr>
      <w:r>
        <w:rPr>
          <w:b/>
          <w:bCs/>
          <w:color w:val="C9961A"/>
        </w:rPr>
        <w:t xml:space="preserve">MODERATE </w:t>
      </w:r>
      <w:r>
        <w:t xml:space="preserve">— a bug, gap, or weakness that should be addressed but does not block release.</w:t>
      </w:r>
    </w:p>
    <w:p>
      <w:pPr>
        <w:pStyle w:val="ListParagraph"/>
        <w:numPr>
          <w:ilvl w:val="0"/>
          <w:numId w:val="2"/>
        </w:numPr>
        <w:spacing w:after="60"/>
      </w:pPr>
      <w:r>
        <w:rPr>
          <w:b/>
          <w:bCs/>
          <w:color w:val="27AE60"/>
        </w:rPr>
        <w:t xml:space="preserve">MINOR </w:t>
      </w:r>
      <w:r>
        <w:t xml:space="preserve">— stylistic, defensive-coding, or documentation polish.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400"/>
        <w:gridCol w:w="1500"/>
        <w:gridCol w:w="1860"/>
      </w:tblGrid>
      <w:tr>
        <w:trPr>
          <w:tblHeader/>
        </w:trPr>
        <w:tc>
          <w:tcPr>
            <w:tcW w:type="dxa" w:w="6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r>
              <w:rPr>
                <w:b/>
                <w:bCs/>
                <w:color w:val="FFFFFF"/>
                <w:sz w:val="18"/>
                <w:szCs w:val="18"/>
              </w:rPr>
              <w:t xml:space="preserve">#</w:t>
            </w:r>
          </w:p>
        </w:tc>
        <w:tc>
          <w:tcPr>
            <w:tcW w:type="dxa" w:w="54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r>
              <w:rPr>
                <w:b/>
                <w:bCs/>
                <w:color w:val="FFFFFF"/>
                <w:sz w:val="18"/>
                <w:szCs w:val="18"/>
              </w:rPr>
              <w:t xml:space="preserve">Finding</w:t>
            </w:r>
          </w:p>
        </w:tc>
        <w:tc>
          <w:tcPr>
            <w:tcW w:type="dxa" w:w="15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r>
              <w:rPr>
                <w:b/>
                <w:bCs/>
                <w:color w:val="FFFFFF"/>
                <w:sz w:val="18"/>
                <w:szCs w:val="18"/>
              </w:rPr>
              <w:t xml:space="preserve">Severity</w:t>
            </w:r>
          </w:p>
        </w:tc>
        <w:tc>
          <w:tcPr>
            <w:tcW w:type="dxa" w:w="186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r>
              <w:rPr>
                <w:b/>
                <w:bCs/>
                <w:color w:val="FFFFFF"/>
                <w:sz w:val="18"/>
                <w:szCs w:val="18"/>
              </w:rPr>
              <w:t xml:space="preserve">Where</w:t>
            </w:r>
          </w:p>
        </w:tc>
      </w:tr>
      <w:tr>
        <w:trPr>
          <w:tblHeader w:val="false"/>
        </w:trPr>
        <w:tc>
          <w:tcPr>
            <w:tcW w:type="dxa" w:w="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18"/>
                <w:szCs w:val="18"/>
              </w:rPr>
              <w:t xml:space="preserve">1</w:t>
            </w:r>
          </w:p>
        </w:tc>
        <w:tc>
          <w:tcPr>
            <w:tcW w:type="dxa" w:w="5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18"/>
                <w:szCs w:val="18"/>
              </w:rPr>
              <w:t xml:space="preserve">Bundled ok_reservoirs.rda is EMPTY (0 rows; README/docs claim 123 lakes)</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18"/>
                <w:szCs w:val="18"/>
              </w:rPr>
              <w:t xml:space="preserve">BLOCKER</w:t>
            </w:r>
          </w:p>
        </w:tc>
        <w:tc>
          <w:tcPr>
            <w:tcW w:type="dxa" w:w="1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18"/>
                <w:szCs w:val="18"/>
              </w:rPr>
              <w:t xml:space="preserve">data/ok_reservoirs.rda</w:t>
            </w:r>
          </w:p>
        </w:tc>
      </w:tr>
      <w:tr>
        <w:trPr>
          <w:tblHeader w:val="false"/>
        </w:trPr>
        <w:tc>
          <w:tcPr>
            <w:tcW w:type="dxa" w:w="600"/>
            <w:tcBorders>
              <w:top w:val="single" w:color="BBBBBB" w:sz="4"/>
              <w:left w:val="single" w:color="BBBBBB" w:sz="4"/>
              <w:bottom w:val="single" w:color="BBBBBB" w:sz="4"/>
              <w:right w:val="single" w:color="BBBBBB" w:sz="4"/>
            </w:tcBorders>
            <w:shd w:fill="F7F9FC" w:val="clear"/>
            <w:tcMar>
              <w:top w:type="dxa" w:w="80"/>
              <w:left w:type="dxa" w:w="120"/>
              <w:bottom w:type="dxa" w:w="80"/>
              <w:right w:type="dxa" w:w="120"/>
            </w:tcMar>
          </w:tcPr>
          <w:p>
            <w:r>
              <w:rPr>
                <w:sz w:val="18"/>
                <w:szCs w:val="18"/>
              </w:rPr>
              <w:t xml:space="preserve">2</w:t>
            </w:r>
          </w:p>
        </w:tc>
        <w:tc>
          <w:tcPr>
            <w:tcW w:type="dxa" w:w="5400"/>
            <w:tcBorders>
              <w:top w:val="single" w:color="BBBBBB" w:sz="4"/>
              <w:left w:val="single" w:color="BBBBBB" w:sz="4"/>
              <w:bottom w:val="single" w:color="BBBBBB" w:sz="4"/>
              <w:right w:val="single" w:color="BBBBBB" w:sz="4"/>
            </w:tcBorders>
            <w:shd w:fill="F7F9FC" w:val="clear"/>
            <w:tcMar>
              <w:top w:type="dxa" w:w="80"/>
              <w:left w:type="dxa" w:w="120"/>
              <w:bottom w:type="dxa" w:w="80"/>
              <w:right w:type="dxa" w:w="120"/>
            </w:tcMar>
          </w:tcPr>
          <w:p>
            <w:r>
              <w:rPr>
                <w:sz w:val="18"/>
                <w:szCs w:val="18"/>
              </w:rPr>
              <w:t xml:space="preserve">TP retention model mislabeled as 'Walker BATHTUB default' — actually Walker Model 5 (Vollenweider Northern Lakes), not the BATHTUB default (Model 1, second-order Available P)</w:t>
            </w:r>
          </w:p>
        </w:tc>
        <w:tc>
          <w:tcPr>
            <w:tcW w:type="dxa" w:w="1500"/>
            <w:tcBorders>
              <w:top w:val="single" w:color="BBBBBB" w:sz="4"/>
              <w:left w:val="single" w:color="BBBBBB" w:sz="4"/>
              <w:bottom w:val="single" w:color="BBBBBB" w:sz="4"/>
              <w:right w:val="single" w:color="BBBBBB" w:sz="4"/>
            </w:tcBorders>
            <w:shd w:fill="F7F9FC" w:val="clear"/>
            <w:tcMar>
              <w:top w:type="dxa" w:w="80"/>
              <w:left w:type="dxa" w:w="120"/>
              <w:bottom w:type="dxa" w:w="80"/>
              <w:right w:type="dxa" w:w="120"/>
            </w:tcMar>
          </w:tcPr>
          <w:p>
            <w:r>
              <w:rPr>
                <w:sz w:val="18"/>
                <w:szCs w:val="18"/>
              </w:rPr>
              <w:t xml:space="preserve">MAJOR (scientific)</w:t>
            </w:r>
          </w:p>
        </w:tc>
        <w:tc>
          <w:tcPr>
            <w:tcW w:type="dxa" w:w="1860"/>
            <w:tcBorders>
              <w:top w:val="single" w:color="BBBBBB" w:sz="4"/>
              <w:left w:val="single" w:color="BBBBBB" w:sz="4"/>
              <w:bottom w:val="single" w:color="BBBBBB" w:sz="4"/>
              <w:right w:val="single" w:color="BBBBBB" w:sz="4"/>
            </w:tcBorders>
            <w:shd w:fill="F7F9FC" w:val="clear"/>
            <w:tcMar>
              <w:top w:type="dxa" w:w="80"/>
              <w:left w:type="dxa" w:w="120"/>
              <w:bottom w:type="dxa" w:w="80"/>
              <w:right w:type="dxa" w:w="120"/>
            </w:tcMar>
          </w:tcPr>
          <w:p>
            <w:r>
              <w:rPr>
                <w:sz w:val="18"/>
                <w:szCs w:val="18"/>
              </w:rPr>
              <w:t xml:space="preserve">README, vignette, retention.R, package.R</w:t>
            </w:r>
          </w:p>
        </w:tc>
      </w:tr>
      <w:tr>
        <w:trPr>
          <w:tblHeader w:val="false"/>
        </w:trPr>
        <w:tc>
          <w:tcPr>
            <w:tcW w:type="dxa" w:w="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18"/>
                <w:szCs w:val="18"/>
              </w:rPr>
              <w:t xml:space="preserve">3</w:t>
            </w:r>
          </w:p>
        </w:tc>
        <w:tc>
          <w:tcPr>
            <w:tcW w:type="dxa" w:w="5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18"/>
                <w:szCs w:val="18"/>
              </w:rPr>
              <w:t xml:space="preserve">AWQMS TN reconstruction double-counts N forms (TKN + Kjeldahl, NH3 + NH3/NH4+, NOx + NO3 + NO2 all summed)</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18"/>
                <w:szCs w:val="18"/>
              </w:rPr>
              <w:t xml:space="preserve">MAJOR (scientific)</w:t>
            </w:r>
          </w:p>
        </w:tc>
        <w:tc>
          <w:tcPr>
            <w:tcW w:type="dxa" w:w="1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18"/>
                <w:szCs w:val="18"/>
              </w:rPr>
              <w:t xml:space="preserve">awqms.R lines 327-370</w:t>
            </w:r>
          </w:p>
        </w:tc>
      </w:tr>
      <w:tr>
        <w:trPr>
          <w:tblHeader w:val="false"/>
        </w:trPr>
        <w:tc>
          <w:tcPr>
            <w:tcW w:type="dxa" w:w="600"/>
            <w:tcBorders>
              <w:top w:val="single" w:color="BBBBBB" w:sz="4"/>
              <w:left w:val="single" w:color="BBBBBB" w:sz="4"/>
              <w:bottom w:val="single" w:color="BBBBBB" w:sz="4"/>
              <w:right w:val="single" w:color="BBBBBB" w:sz="4"/>
            </w:tcBorders>
            <w:shd w:fill="F7F9FC" w:val="clear"/>
            <w:tcMar>
              <w:top w:type="dxa" w:w="80"/>
              <w:left w:type="dxa" w:w="120"/>
              <w:bottom w:type="dxa" w:w="80"/>
              <w:right w:type="dxa" w:w="120"/>
            </w:tcMar>
          </w:tcPr>
          <w:p>
            <w:r>
              <w:rPr>
                <w:sz w:val="18"/>
                <w:szCs w:val="18"/>
              </w:rPr>
              <w:t xml:space="preserve">4</w:t>
            </w:r>
          </w:p>
        </w:tc>
        <w:tc>
          <w:tcPr>
            <w:tcW w:type="dxa" w:w="5400"/>
            <w:tcBorders>
              <w:top w:val="single" w:color="BBBBBB" w:sz="4"/>
              <w:left w:val="single" w:color="BBBBBB" w:sz="4"/>
              <w:bottom w:val="single" w:color="BBBBBB" w:sz="4"/>
              <w:right w:val="single" w:color="BBBBBB" w:sz="4"/>
            </w:tcBorders>
            <w:shd w:fill="F7F9FC" w:val="clear"/>
            <w:tcMar>
              <w:top w:type="dxa" w:w="80"/>
              <w:left w:type="dxa" w:w="120"/>
              <w:bottom w:type="dxa" w:w="80"/>
              <w:right w:type="dxa" w:w="120"/>
            </w:tcMar>
          </w:tcPr>
          <w:p>
            <w:r>
              <w:rPr>
                <w:sz w:val="18"/>
                <w:szCs w:val="18"/>
              </w:rPr>
              <w:t xml:space="preserve">Internal sample-size inconsistency: Cross Timbers Secchi n=265 exceeds 'statewide pooled' n=250</w:t>
            </w:r>
          </w:p>
        </w:tc>
        <w:tc>
          <w:tcPr>
            <w:tcW w:type="dxa" w:w="1500"/>
            <w:tcBorders>
              <w:top w:val="single" w:color="BBBBBB" w:sz="4"/>
              <w:left w:val="single" w:color="BBBBBB" w:sz="4"/>
              <w:bottom w:val="single" w:color="BBBBBB" w:sz="4"/>
              <w:right w:val="single" w:color="BBBBBB" w:sz="4"/>
            </w:tcBorders>
            <w:shd w:fill="F7F9FC" w:val="clear"/>
            <w:tcMar>
              <w:top w:type="dxa" w:w="80"/>
              <w:left w:type="dxa" w:w="120"/>
              <w:bottom w:type="dxa" w:w="80"/>
              <w:right w:type="dxa" w:w="120"/>
            </w:tcMar>
          </w:tcPr>
          <w:p>
            <w:r>
              <w:rPr>
                <w:sz w:val="18"/>
                <w:szCs w:val="18"/>
              </w:rPr>
              <w:t xml:space="preserve">MAJOR (data integrity)</w:t>
            </w:r>
          </w:p>
        </w:tc>
        <w:tc>
          <w:tcPr>
            <w:tcW w:type="dxa" w:w="1860"/>
            <w:tcBorders>
              <w:top w:val="single" w:color="BBBBBB" w:sz="4"/>
              <w:left w:val="single" w:color="BBBBBB" w:sz="4"/>
              <w:bottom w:val="single" w:color="BBBBBB" w:sz="4"/>
              <w:right w:val="single" w:color="BBBBBB" w:sz="4"/>
            </w:tcBorders>
            <w:shd w:fill="F7F9FC" w:val="clear"/>
            <w:tcMar>
              <w:top w:type="dxa" w:w="80"/>
              <w:left w:type="dxa" w:w="120"/>
              <w:bottom w:type="dxa" w:w="80"/>
              <w:right w:type="dxa" w:w="120"/>
            </w:tcMar>
          </w:tcPr>
          <w:p>
            <w:r>
              <w:rPr>
                <w:sz w:val="18"/>
                <w:szCs w:val="18"/>
              </w:rPr>
              <w:t xml:space="preserve">okBATHTUB-package.R lines 326-349</w:t>
            </w:r>
          </w:p>
        </w:tc>
      </w:tr>
      <w:tr>
        <w:trPr>
          <w:tblHeader w:val="false"/>
        </w:trPr>
        <w:tc>
          <w:tcPr>
            <w:tcW w:type="dxa" w:w="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18"/>
                <w:szCs w:val="18"/>
              </w:rPr>
              <w:t xml:space="preserve">5</w:t>
            </w:r>
          </w:p>
        </w:tc>
        <w:tc>
          <w:tcPr>
            <w:tcW w:type="dxa" w:w="5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18"/>
                <w:szCs w:val="18"/>
              </w:rPr>
              <w:t xml:space="preserve">Hard-coded OWRB server (owrb.gselements.com:1433) and username in exported function default — exposes internal infrastructure in a public CRAN package</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18"/>
                <w:szCs w:val="18"/>
              </w:rPr>
              <w:t xml:space="preserve">MAJOR (CRAN policy / security)</w:t>
            </w:r>
          </w:p>
        </w:tc>
        <w:tc>
          <w:tcPr>
            <w:tcW w:type="dxa" w:w="1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18"/>
                <w:szCs w:val="18"/>
              </w:rPr>
              <w:t xml:space="preserve">awqms.R .awqms_default_config()</w:t>
            </w:r>
          </w:p>
        </w:tc>
      </w:tr>
      <w:tr>
        <w:trPr>
          <w:tblHeader w:val="false"/>
        </w:trPr>
        <w:tc>
          <w:tcPr>
            <w:tcW w:type="dxa" w:w="600"/>
            <w:tcBorders>
              <w:top w:val="single" w:color="BBBBBB" w:sz="4"/>
              <w:left w:val="single" w:color="BBBBBB" w:sz="4"/>
              <w:bottom w:val="single" w:color="BBBBBB" w:sz="4"/>
              <w:right w:val="single" w:color="BBBBBB" w:sz="4"/>
            </w:tcBorders>
            <w:shd w:fill="F7F9FC" w:val="clear"/>
            <w:tcMar>
              <w:top w:type="dxa" w:w="80"/>
              <w:left w:type="dxa" w:w="120"/>
              <w:bottom w:type="dxa" w:w="80"/>
              <w:right w:type="dxa" w:w="120"/>
            </w:tcMar>
          </w:tcPr>
          <w:p>
            <w:r>
              <w:rPr>
                <w:sz w:val="18"/>
                <w:szCs w:val="18"/>
              </w:rPr>
              <w:t xml:space="preserve">6</w:t>
            </w:r>
          </w:p>
        </w:tc>
        <w:tc>
          <w:tcPr>
            <w:tcW w:type="dxa" w:w="5400"/>
            <w:tcBorders>
              <w:top w:val="single" w:color="BBBBBB" w:sz="4"/>
              <w:left w:val="single" w:color="BBBBBB" w:sz="4"/>
              <w:bottom w:val="single" w:color="BBBBBB" w:sz="4"/>
              <w:right w:val="single" w:color="BBBBBB" w:sz="4"/>
            </w:tcBorders>
            <w:shd w:fill="F7F9FC" w:val="clear"/>
            <w:tcMar>
              <w:top w:type="dxa" w:w="80"/>
              <w:left w:type="dxa" w:w="120"/>
              <w:bottom w:type="dxa" w:w="80"/>
              <w:right w:type="dxa" w:w="120"/>
            </w:tcMar>
          </w:tcPr>
          <w:p>
            <w:r>
              <w:rPr>
                <w:sz w:val="18"/>
                <w:szCs w:val="18"/>
              </w:rPr>
              <w:t xml:space="preserve">Exported ok_project_path() returns hard-coded Windows OneDrive path using USERPROFILE env var — non-functional on Linux/macOS; CRAN check failure on non-Windows</w:t>
            </w:r>
          </w:p>
        </w:tc>
        <w:tc>
          <w:tcPr>
            <w:tcW w:type="dxa" w:w="1500"/>
            <w:tcBorders>
              <w:top w:val="single" w:color="BBBBBB" w:sz="4"/>
              <w:left w:val="single" w:color="BBBBBB" w:sz="4"/>
              <w:bottom w:val="single" w:color="BBBBBB" w:sz="4"/>
              <w:right w:val="single" w:color="BBBBBB" w:sz="4"/>
            </w:tcBorders>
            <w:shd w:fill="F7F9FC" w:val="clear"/>
            <w:tcMar>
              <w:top w:type="dxa" w:w="80"/>
              <w:left w:type="dxa" w:w="120"/>
              <w:bottom w:type="dxa" w:w="80"/>
              <w:right w:type="dxa" w:w="120"/>
            </w:tcMar>
          </w:tcPr>
          <w:p>
            <w:r>
              <w:rPr>
                <w:sz w:val="18"/>
                <w:szCs w:val="18"/>
              </w:rPr>
              <w:t xml:space="preserve">BLOCKER (CRAN policy)</w:t>
            </w:r>
          </w:p>
        </w:tc>
        <w:tc>
          <w:tcPr>
            <w:tcW w:type="dxa" w:w="1860"/>
            <w:tcBorders>
              <w:top w:val="single" w:color="BBBBBB" w:sz="4"/>
              <w:left w:val="single" w:color="BBBBBB" w:sz="4"/>
              <w:bottom w:val="single" w:color="BBBBBB" w:sz="4"/>
              <w:right w:val="single" w:color="BBBBBB" w:sz="4"/>
            </w:tcBorders>
            <w:shd w:fill="F7F9FC" w:val="clear"/>
            <w:tcMar>
              <w:top w:type="dxa" w:w="80"/>
              <w:left w:type="dxa" w:w="120"/>
              <w:bottom w:type="dxa" w:w="80"/>
              <w:right w:type="dxa" w:w="120"/>
            </w:tcMar>
          </w:tcPr>
          <w:p>
            <w:r>
              <w:rPr>
                <w:sz w:val="18"/>
                <w:szCs w:val="18"/>
              </w:rPr>
              <w:t xml:space="preserve">awqms.R lines 657-665</w:t>
            </w:r>
          </w:p>
        </w:tc>
      </w:tr>
      <w:tr>
        <w:trPr>
          <w:tblHeader w:val="false"/>
        </w:trPr>
        <w:tc>
          <w:tcPr>
            <w:tcW w:type="dxa" w:w="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18"/>
                <w:szCs w:val="18"/>
              </w:rPr>
              <w:t xml:space="preserve">7</w:t>
            </w:r>
          </w:p>
        </w:tc>
        <w:tc>
          <w:tcPr>
            <w:tcW w:type="dxa" w:w="5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18"/>
                <w:szCs w:val="18"/>
              </w:rPr>
              <w:t xml:space="preserve">Copyright / authorship inconsistency: README claims 'personal capacity'; DESCRIPTION names OWRB as cph; LICENSE names both; plots embed 'OWRB Water Quality Division' caption; author email is work email</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18"/>
                <w:szCs w:val="18"/>
              </w:rPr>
              <w:t xml:space="preserve">MAJOR (legal / ethics)</w:t>
            </w:r>
          </w:p>
        </w:tc>
        <w:tc>
          <w:tcPr>
            <w:tcW w:type="dxa" w:w="1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18"/>
                <w:szCs w:val="18"/>
              </w:rPr>
              <w:t xml:space="preserve">README, DESCRIPTION, LICENSE, plot.R</w:t>
            </w:r>
          </w:p>
        </w:tc>
      </w:tr>
      <w:tr>
        <w:trPr>
          <w:tblHeader w:val="false"/>
        </w:trPr>
        <w:tc>
          <w:tcPr>
            <w:tcW w:type="dxa" w:w="600"/>
            <w:tcBorders>
              <w:top w:val="single" w:color="BBBBBB" w:sz="4"/>
              <w:left w:val="single" w:color="BBBBBB" w:sz="4"/>
              <w:bottom w:val="single" w:color="BBBBBB" w:sz="4"/>
              <w:right w:val="single" w:color="BBBBBB" w:sz="4"/>
            </w:tcBorders>
            <w:shd w:fill="F7F9FC" w:val="clear"/>
            <w:tcMar>
              <w:top w:type="dxa" w:w="80"/>
              <w:left w:type="dxa" w:w="120"/>
              <w:bottom w:type="dxa" w:w="80"/>
              <w:right w:type="dxa" w:w="120"/>
            </w:tcMar>
          </w:tcPr>
          <w:p>
            <w:r>
              <w:rPr>
                <w:sz w:val="18"/>
                <w:szCs w:val="18"/>
              </w:rPr>
              <w:t xml:space="preserve">8</w:t>
            </w:r>
          </w:p>
        </w:tc>
        <w:tc>
          <w:tcPr>
            <w:tcW w:type="dxa" w:w="5400"/>
            <w:tcBorders>
              <w:top w:val="single" w:color="BBBBBB" w:sz="4"/>
              <w:left w:val="single" w:color="BBBBBB" w:sz="4"/>
              <w:bottom w:val="single" w:color="BBBBBB" w:sz="4"/>
              <w:right w:val="single" w:color="BBBBBB" w:sz="4"/>
            </w:tcBorders>
            <w:shd w:fill="F7F9FC" w:val="clear"/>
            <w:tcMar>
              <w:top w:type="dxa" w:w="80"/>
              <w:left w:type="dxa" w:w="120"/>
              <w:bottom w:type="dxa" w:w="80"/>
              <w:right w:type="dxa" w:w="120"/>
            </w:tcMar>
          </w:tcPr>
          <w:p>
            <w:r>
              <w:rPr>
                <w:sz w:val="18"/>
                <w:szCs w:val="18"/>
              </w:rPr>
              <w:t xml:space="preserve">ok_load_multi() drops the ecoregion argument when delegating to ok_load() — silent fall-through to statewide-pooled coefficients</w:t>
            </w:r>
          </w:p>
        </w:tc>
        <w:tc>
          <w:tcPr>
            <w:tcW w:type="dxa" w:w="1500"/>
            <w:tcBorders>
              <w:top w:val="single" w:color="BBBBBB" w:sz="4"/>
              <w:left w:val="single" w:color="BBBBBB" w:sz="4"/>
              <w:bottom w:val="single" w:color="BBBBBB" w:sz="4"/>
              <w:right w:val="single" w:color="BBBBBB" w:sz="4"/>
            </w:tcBorders>
            <w:shd w:fill="F7F9FC" w:val="clear"/>
            <w:tcMar>
              <w:top w:type="dxa" w:w="80"/>
              <w:left w:type="dxa" w:w="120"/>
              <w:bottom w:type="dxa" w:w="80"/>
              <w:right w:type="dxa" w:w="120"/>
            </w:tcMar>
          </w:tcPr>
          <w:p>
            <w:r>
              <w:rPr>
                <w:sz w:val="18"/>
                <w:szCs w:val="18"/>
              </w:rPr>
              <w:t xml:space="preserve">MODERATE (bug)</w:t>
            </w:r>
          </w:p>
        </w:tc>
        <w:tc>
          <w:tcPr>
            <w:tcW w:type="dxa" w:w="1860"/>
            <w:tcBorders>
              <w:top w:val="single" w:color="BBBBBB" w:sz="4"/>
              <w:left w:val="single" w:color="BBBBBB" w:sz="4"/>
              <w:bottom w:val="single" w:color="BBBBBB" w:sz="4"/>
              <w:right w:val="single" w:color="BBBBBB" w:sz="4"/>
            </w:tcBorders>
            <w:shd w:fill="F7F9FC" w:val="clear"/>
            <w:tcMar>
              <w:top w:type="dxa" w:w="80"/>
              <w:left w:type="dxa" w:w="120"/>
              <w:bottom w:type="dxa" w:w="80"/>
              <w:right w:type="dxa" w:w="120"/>
            </w:tcMar>
          </w:tcPr>
          <w:p>
            <w:r>
              <w:rPr>
                <w:sz w:val="18"/>
                <w:szCs w:val="18"/>
              </w:rPr>
              <w:t xml:space="preserve">load_inputs.R line 157</w:t>
            </w:r>
          </w:p>
        </w:tc>
      </w:tr>
      <w:tr>
        <w:trPr>
          <w:tblHeader w:val="false"/>
        </w:trPr>
        <w:tc>
          <w:tcPr>
            <w:tcW w:type="dxa" w:w="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18"/>
                <w:szCs w:val="18"/>
              </w:rPr>
              <w:t xml:space="preserve">9</w:t>
            </w:r>
          </w:p>
        </w:tc>
        <w:tc>
          <w:tcPr>
            <w:tcW w:type="dxa" w:w="5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18"/>
                <w:szCs w:val="18"/>
              </w:rPr>
              <w:t xml:space="preserve">ok_segment() does not propagate ecoregion correctly through ok_segment_chain (chain passes ecoregion to first segment, then ok_segment() inherits from upstream meta — but upstream may have fallen back to statewide pooled, so chain segments silently use the wrong coefficients)</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18"/>
                <w:szCs w:val="18"/>
              </w:rPr>
              <w:t xml:space="preserve">MODERATE (bug)</w:t>
            </w:r>
          </w:p>
        </w:tc>
        <w:tc>
          <w:tcPr>
            <w:tcW w:type="dxa" w:w="1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18"/>
                <w:szCs w:val="18"/>
              </w:rPr>
              <w:t xml:space="preserve">segments.R lines 89-92</w:t>
            </w:r>
          </w:p>
        </w:tc>
      </w:tr>
      <w:tr>
        <w:trPr>
          <w:tblHeader w:val="false"/>
        </w:trPr>
        <w:tc>
          <w:tcPr>
            <w:tcW w:type="dxa" w:w="600"/>
            <w:tcBorders>
              <w:top w:val="single" w:color="BBBBBB" w:sz="4"/>
              <w:left w:val="single" w:color="BBBBBB" w:sz="4"/>
              <w:bottom w:val="single" w:color="BBBBBB" w:sz="4"/>
              <w:right w:val="single" w:color="BBBBBB" w:sz="4"/>
            </w:tcBorders>
            <w:shd w:fill="F7F9FC" w:val="clear"/>
            <w:tcMar>
              <w:top w:type="dxa" w:w="80"/>
              <w:left w:type="dxa" w:w="120"/>
              <w:bottom w:type="dxa" w:w="80"/>
              <w:right w:type="dxa" w:w="120"/>
            </w:tcMar>
          </w:tcPr>
          <w:p>
            <w:r>
              <w:rPr>
                <w:sz w:val="18"/>
                <w:szCs w:val="18"/>
              </w:rPr>
              <w:t xml:space="preserve">10</w:t>
            </w:r>
          </w:p>
        </w:tc>
        <w:tc>
          <w:tcPr>
            <w:tcW w:type="dxa" w:w="5400"/>
            <w:tcBorders>
              <w:top w:val="single" w:color="BBBBBB" w:sz="4"/>
              <w:left w:val="single" w:color="BBBBBB" w:sz="4"/>
              <w:bottom w:val="single" w:color="BBBBBB" w:sz="4"/>
              <w:right w:val="single" w:color="BBBBBB" w:sz="4"/>
            </w:tcBorders>
            <w:shd w:fill="F7F9FC" w:val="clear"/>
            <w:tcMar>
              <w:top w:type="dxa" w:w="80"/>
              <w:left w:type="dxa" w:w="120"/>
              <w:bottom w:type="dxa" w:w="80"/>
              <w:right w:type="dxa" w:w="120"/>
            </w:tcMar>
          </w:tcPr>
          <w:p>
            <w:r>
              <w:rPr>
                <w:sz w:val="18"/>
                <w:szCs w:val="18"/>
              </w:rPr>
              <w:t xml:space="preserve">Tests assert that the code is internally self-consistent (e.g. 'TP_inlake == TP_in * (1 - R)'); they do NOT validate against any external reference output, observed Oklahoma lake data, or published BATHTUB run</w:t>
            </w:r>
          </w:p>
        </w:tc>
        <w:tc>
          <w:tcPr>
            <w:tcW w:type="dxa" w:w="1500"/>
            <w:tcBorders>
              <w:top w:val="single" w:color="BBBBBB" w:sz="4"/>
              <w:left w:val="single" w:color="BBBBBB" w:sz="4"/>
              <w:bottom w:val="single" w:color="BBBBBB" w:sz="4"/>
              <w:right w:val="single" w:color="BBBBBB" w:sz="4"/>
            </w:tcBorders>
            <w:shd w:fill="F7F9FC" w:val="clear"/>
            <w:tcMar>
              <w:top w:type="dxa" w:w="80"/>
              <w:left w:type="dxa" w:w="120"/>
              <w:bottom w:type="dxa" w:w="80"/>
              <w:right w:type="dxa" w:w="120"/>
            </w:tcMar>
          </w:tcPr>
          <w:p>
            <w:r>
              <w:rPr>
                <w:sz w:val="18"/>
                <w:szCs w:val="18"/>
              </w:rPr>
              <w:t xml:space="preserve">MODERATE (rigor)</w:t>
            </w:r>
          </w:p>
        </w:tc>
        <w:tc>
          <w:tcPr>
            <w:tcW w:type="dxa" w:w="1860"/>
            <w:tcBorders>
              <w:top w:val="single" w:color="BBBBBB" w:sz="4"/>
              <w:left w:val="single" w:color="BBBBBB" w:sz="4"/>
              <w:bottom w:val="single" w:color="BBBBBB" w:sz="4"/>
              <w:right w:val="single" w:color="BBBBBB" w:sz="4"/>
            </w:tcBorders>
            <w:shd w:fill="F7F9FC" w:val="clear"/>
            <w:tcMar>
              <w:top w:type="dxa" w:w="80"/>
              <w:left w:type="dxa" w:w="120"/>
              <w:bottom w:type="dxa" w:w="80"/>
              <w:right w:type="dxa" w:w="120"/>
            </w:tcMar>
          </w:tcPr>
          <w:p>
            <w:r>
              <w:rPr>
                <w:sz w:val="18"/>
                <w:szCs w:val="18"/>
              </w:rPr>
              <w:t xml:space="preserve">tests/testthat/*</w:t>
            </w:r>
          </w:p>
        </w:tc>
      </w:tr>
      <w:tr>
        <w:trPr>
          <w:tblHeader w:val="false"/>
        </w:trPr>
        <w:tc>
          <w:tcPr>
            <w:tcW w:type="dxa" w:w="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18"/>
                <w:szCs w:val="18"/>
              </w:rPr>
              <w:t xml:space="preserve">11</w:t>
            </w:r>
          </w:p>
        </w:tc>
        <w:tc>
          <w:tcPr>
            <w:tcW w:type="dxa" w:w="5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18"/>
                <w:szCs w:val="18"/>
              </w:rPr>
              <w:t xml:space="preserve">DESCRIPTION declares 'RoxygenNote: 8.0.0' and 'Roxygen: list(markdown = FALSE)' — modern best practice is markdown = TRUE</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18"/>
                <w:szCs w:val="18"/>
              </w:rPr>
              <w:t xml:space="preserve">MINOR (style)</w:t>
            </w:r>
          </w:p>
        </w:tc>
        <w:tc>
          <w:tcPr>
            <w:tcW w:type="dxa" w:w="1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18"/>
                <w:szCs w:val="18"/>
              </w:rPr>
              <w:t xml:space="preserve">DESCRIPTION</w:t>
            </w:r>
          </w:p>
        </w:tc>
      </w:tr>
      <w:tr>
        <w:trPr>
          <w:tblHeader w:val="false"/>
        </w:trPr>
        <w:tc>
          <w:tcPr>
            <w:tcW w:type="dxa" w:w="600"/>
            <w:tcBorders>
              <w:top w:val="single" w:color="BBBBBB" w:sz="4"/>
              <w:left w:val="single" w:color="BBBBBB" w:sz="4"/>
              <w:bottom w:val="single" w:color="BBBBBB" w:sz="4"/>
              <w:right w:val="single" w:color="BBBBBB" w:sz="4"/>
            </w:tcBorders>
            <w:shd w:fill="F7F9FC" w:val="clear"/>
            <w:tcMar>
              <w:top w:type="dxa" w:w="80"/>
              <w:left w:type="dxa" w:w="120"/>
              <w:bottom w:type="dxa" w:w="80"/>
              <w:right w:type="dxa" w:w="120"/>
            </w:tcMar>
          </w:tcPr>
          <w:p>
            <w:r>
              <w:rPr>
                <w:sz w:val="18"/>
                <w:szCs w:val="18"/>
              </w:rPr>
              <w:t xml:space="preserve">12</w:t>
            </w:r>
          </w:p>
        </w:tc>
        <w:tc>
          <w:tcPr>
            <w:tcW w:type="dxa" w:w="5400"/>
            <w:tcBorders>
              <w:top w:val="single" w:color="BBBBBB" w:sz="4"/>
              <w:left w:val="single" w:color="BBBBBB" w:sz="4"/>
              <w:bottom w:val="single" w:color="BBBBBB" w:sz="4"/>
              <w:right w:val="single" w:color="BBBBBB" w:sz="4"/>
            </w:tcBorders>
            <w:shd w:fill="F7F9FC" w:val="clear"/>
            <w:tcMar>
              <w:top w:type="dxa" w:w="80"/>
              <w:left w:type="dxa" w:w="120"/>
              <w:bottom w:type="dxa" w:w="80"/>
              <w:right w:type="dxa" w:w="120"/>
            </w:tcMar>
          </w:tcPr>
          <w:p>
            <w:r>
              <w:rPr>
                <w:sz w:val="18"/>
                <w:szCs w:val="18"/>
              </w:rPr>
              <w:t xml:space="preserve">Walker (1996) cited but the actual model used is closer to Vollenweider (1976) Northern Lakes / Larsen-Mercier (1976). Walker is cited 12+ times; the actual Walker BATHTUB default equations are nowhere implemented</w:t>
            </w:r>
          </w:p>
        </w:tc>
        <w:tc>
          <w:tcPr>
            <w:tcW w:type="dxa" w:w="1500"/>
            <w:tcBorders>
              <w:top w:val="single" w:color="BBBBBB" w:sz="4"/>
              <w:left w:val="single" w:color="BBBBBB" w:sz="4"/>
              <w:bottom w:val="single" w:color="BBBBBB" w:sz="4"/>
              <w:right w:val="single" w:color="BBBBBB" w:sz="4"/>
            </w:tcBorders>
            <w:shd w:fill="F7F9FC" w:val="clear"/>
            <w:tcMar>
              <w:top w:type="dxa" w:w="80"/>
              <w:left w:type="dxa" w:w="120"/>
              <w:bottom w:type="dxa" w:w="80"/>
              <w:right w:type="dxa" w:w="120"/>
            </w:tcMar>
          </w:tcPr>
          <w:p>
            <w:r>
              <w:rPr>
                <w:sz w:val="18"/>
                <w:szCs w:val="18"/>
              </w:rPr>
              <w:t xml:space="preserve">MAJOR (citation / fidelity)</w:t>
            </w:r>
          </w:p>
        </w:tc>
        <w:tc>
          <w:tcPr>
            <w:tcW w:type="dxa" w:w="1860"/>
            <w:tcBorders>
              <w:top w:val="single" w:color="BBBBBB" w:sz="4"/>
              <w:left w:val="single" w:color="BBBBBB" w:sz="4"/>
              <w:bottom w:val="single" w:color="BBBBBB" w:sz="4"/>
              <w:right w:val="single" w:color="BBBBBB" w:sz="4"/>
            </w:tcBorders>
            <w:shd w:fill="F7F9FC" w:val="clear"/>
            <w:tcMar>
              <w:top w:type="dxa" w:w="80"/>
              <w:left w:type="dxa" w:w="120"/>
              <w:bottom w:type="dxa" w:w="80"/>
              <w:right w:type="dxa" w:w="120"/>
            </w:tcMar>
          </w:tcPr>
          <w:p>
            <w:r>
              <w:rPr>
                <w:sz w:val="18"/>
                <w:szCs w:val="18"/>
              </w:rPr>
              <w:t xml:space="preserve">Throughout</w:t>
            </w:r>
          </w:p>
        </w:tc>
      </w:tr>
      <w:tr>
        <w:trPr>
          <w:tblHeader w:val="false"/>
        </w:trPr>
        <w:tc>
          <w:tcPr>
            <w:tcW w:type="dxa" w:w="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18"/>
                <w:szCs w:val="18"/>
              </w:rPr>
              <w:t xml:space="preserve">13</w:t>
            </w:r>
          </w:p>
        </w:tc>
        <w:tc>
          <w:tcPr>
            <w:tcW w:type="dxa" w:w="5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18"/>
                <w:szCs w:val="18"/>
              </w:rPr>
              <w:t xml:space="preserve">ecoregion argument to ok_load() is silently accepted even for coefficients='walker' (does nothing, no warning)</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18"/>
                <w:szCs w:val="18"/>
              </w:rPr>
              <w:t xml:space="preserve">MINOR (UX)</w:t>
            </w:r>
          </w:p>
        </w:tc>
        <w:tc>
          <w:tcPr>
            <w:tcW w:type="dxa" w:w="1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18"/>
                <w:szCs w:val="18"/>
              </w:rPr>
              <w:t xml:space="preserve">load_inputs.R</w:t>
            </w:r>
          </w:p>
        </w:tc>
      </w:tr>
      <w:tr>
        <w:trPr>
          <w:tblHeader w:val="false"/>
        </w:trPr>
        <w:tc>
          <w:tcPr>
            <w:tcW w:type="dxa" w:w="600"/>
            <w:tcBorders>
              <w:top w:val="single" w:color="BBBBBB" w:sz="4"/>
              <w:left w:val="single" w:color="BBBBBB" w:sz="4"/>
              <w:bottom w:val="single" w:color="BBBBBB" w:sz="4"/>
              <w:right w:val="single" w:color="BBBBBB" w:sz="4"/>
            </w:tcBorders>
            <w:shd w:fill="F7F9FC" w:val="clear"/>
            <w:tcMar>
              <w:top w:type="dxa" w:w="80"/>
              <w:left w:type="dxa" w:w="120"/>
              <w:bottom w:type="dxa" w:w="80"/>
              <w:right w:type="dxa" w:w="120"/>
            </w:tcMar>
          </w:tcPr>
          <w:p>
            <w:r>
              <w:rPr>
                <w:sz w:val="18"/>
                <w:szCs w:val="18"/>
              </w:rPr>
              <w:t xml:space="preserve">14</w:t>
            </w:r>
          </w:p>
        </w:tc>
        <w:tc>
          <w:tcPr>
            <w:tcW w:type="dxa" w:w="5400"/>
            <w:tcBorders>
              <w:top w:val="single" w:color="BBBBBB" w:sz="4"/>
              <w:left w:val="single" w:color="BBBBBB" w:sz="4"/>
              <w:bottom w:val="single" w:color="BBBBBB" w:sz="4"/>
              <w:right w:val="single" w:color="BBBBBB" w:sz="4"/>
            </w:tcBorders>
            <w:shd w:fill="F7F9FC" w:val="clear"/>
            <w:tcMar>
              <w:top w:type="dxa" w:w="80"/>
              <w:left w:type="dxa" w:w="120"/>
              <w:bottom w:type="dxa" w:w="80"/>
              <w:right w:type="dxa" w:w="120"/>
            </w:tcMar>
          </w:tcPr>
          <w:p>
            <w:r>
              <w:rPr>
                <w:sz w:val="18"/>
                <w:szCs w:val="18"/>
              </w:rPr>
              <w:t xml:space="preserve">Volume approximation V = depth × area treats the reservoir as a rectangular prism, but documentation does not flag that for realistic reservoirs with non-uniform bathymetry this is a simplification; many of the 'B'-coded mean depths use a regression that itself introduces ~factor-of-2 uncertainty without warning</w:t>
            </w:r>
          </w:p>
        </w:tc>
        <w:tc>
          <w:tcPr>
            <w:tcW w:type="dxa" w:w="1500"/>
            <w:tcBorders>
              <w:top w:val="single" w:color="BBBBBB" w:sz="4"/>
              <w:left w:val="single" w:color="BBBBBB" w:sz="4"/>
              <w:bottom w:val="single" w:color="BBBBBB" w:sz="4"/>
              <w:right w:val="single" w:color="BBBBBB" w:sz="4"/>
            </w:tcBorders>
            <w:shd w:fill="F7F9FC" w:val="clear"/>
            <w:tcMar>
              <w:top w:type="dxa" w:w="80"/>
              <w:left w:type="dxa" w:w="120"/>
              <w:bottom w:type="dxa" w:w="80"/>
              <w:right w:type="dxa" w:w="120"/>
            </w:tcMar>
          </w:tcPr>
          <w:p>
            <w:r>
              <w:rPr>
                <w:sz w:val="18"/>
                <w:szCs w:val="18"/>
              </w:rPr>
              <w:t xml:space="preserve">MODERATE (docs)</w:t>
            </w:r>
          </w:p>
        </w:tc>
        <w:tc>
          <w:tcPr>
            <w:tcW w:type="dxa" w:w="1860"/>
            <w:tcBorders>
              <w:top w:val="single" w:color="BBBBBB" w:sz="4"/>
              <w:left w:val="single" w:color="BBBBBB" w:sz="4"/>
              <w:bottom w:val="single" w:color="BBBBBB" w:sz="4"/>
              <w:right w:val="single" w:color="BBBBBB" w:sz="4"/>
            </w:tcBorders>
            <w:shd w:fill="F7F9FC" w:val="clear"/>
            <w:tcMar>
              <w:top w:type="dxa" w:w="80"/>
              <w:left w:type="dxa" w:w="120"/>
              <w:bottom w:type="dxa" w:w="80"/>
              <w:right w:type="dxa" w:w="120"/>
            </w:tcMar>
          </w:tcPr>
          <w:p>
            <w:r>
              <w:rPr>
                <w:sz w:val="18"/>
                <w:szCs w:val="18"/>
              </w:rPr>
              <w:t xml:space="preserve">hydraulics.R, reservoirs.R</w:t>
            </w:r>
          </w:p>
        </w:tc>
      </w:tr>
      <w:tr>
        <w:trPr>
          <w:tblHeader w:val="false"/>
        </w:trPr>
        <w:tc>
          <w:tcPr>
            <w:tcW w:type="dxa" w:w="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18"/>
                <w:szCs w:val="18"/>
              </w:rPr>
              <w:t xml:space="preserve">15</w:t>
            </w:r>
          </w:p>
        </w:tc>
        <w:tc>
          <w:tcPr>
            <w:tcW w:type="dxa" w:w="5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18"/>
                <w:szCs w:val="18"/>
              </w:rPr>
              <w:t xml:space="preserve">TSI mean computation does an unweighted mean across whichever of {TSI(TP), TSI(Chl), TSI(Secchi)} are non-null; this is a common but not universally accepted convention (Carlson's own 'deviation' analysis assumes all three are present and weights are equal). No documentation of behavior when only 1-2 indices are available</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18"/>
                <w:szCs w:val="18"/>
              </w:rPr>
              <w:t xml:space="preserve">MINOR (docs)</w:t>
            </w:r>
          </w:p>
        </w:tc>
        <w:tc>
          <w:tcPr>
            <w:tcW w:type="dxa" w:w="1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18"/>
                <w:szCs w:val="18"/>
              </w:rPr>
              <w:t xml:space="preserve">tsi.R lines 126-127</w:t>
            </w:r>
          </w:p>
        </w:tc>
      </w:tr>
      <w:tr>
        <w:trPr>
          <w:tblHeader w:val="false"/>
        </w:trPr>
        <w:tc>
          <w:tcPr>
            <w:tcW w:type="dxa" w:w="600"/>
            <w:tcBorders>
              <w:top w:val="single" w:color="BBBBBB" w:sz="4"/>
              <w:left w:val="single" w:color="BBBBBB" w:sz="4"/>
              <w:bottom w:val="single" w:color="BBBBBB" w:sz="4"/>
              <w:right w:val="single" w:color="BBBBBB" w:sz="4"/>
            </w:tcBorders>
            <w:shd w:fill="F7F9FC" w:val="clear"/>
            <w:tcMar>
              <w:top w:type="dxa" w:w="80"/>
              <w:left w:type="dxa" w:w="120"/>
              <w:bottom w:type="dxa" w:w="80"/>
              <w:right w:type="dxa" w:w="120"/>
            </w:tcMar>
          </w:tcPr>
          <w:p>
            <w:r>
              <w:rPr>
                <w:sz w:val="18"/>
                <w:szCs w:val="18"/>
              </w:rPr>
              <w:t xml:space="preserve">16</w:t>
            </w:r>
          </w:p>
        </w:tc>
        <w:tc>
          <w:tcPr>
            <w:tcW w:type="dxa" w:w="5400"/>
            <w:tcBorders>
              <w:top w:val="single" w:color="BBBBBB" w:sz="4"/>
              <w:left w:val="single" w:color="BBBBBB" w:sz="4"/>
              <w:bottom w:val="single" w:color="BBBBBB" w:sz="4"/>
              <w:right w:val="single" w:color="BBBBBB" w:sz="4"/>
            </w:tcBorders>
            <w:shd w:fill="F7F9FC" w:val="clear"/>
            <w:tcMar>
              <w:top w:type="dxa" w:w="80"/>
              <w:left w:type="dxa" w:w="120"/>
              <w:bottom w:type="dxa" w:w="80"/>
              <w:right w:type="dxa" w:w="120"/>
            </w:tcMar>
          </w:tcPr>
          <w:p>
            <w:r>
              <w:rPr>
                <w:sz w:val="18"/>
                <w:szCs w:val="18"/>
              </w:rPr>
              <w:t xml:space="preserve">No NEWS.md, no cran-comments.md in distributed source — both expected by reviewers and r-pkgs.org best practice</w:t>
            </w:r>
          </w:p>
        </w:tc>
        <w:tc>
          <w:tcPr>
            <w:tcW w:type="dxa" w:w="1500"/>
            <w:tcBorders>
              <w:top w:val="single" w:color="BBBBBB" w:sz="4"/>
              <w:left w:val="single" w:color="BBBBBB" w:sz="4"/>
              <w:bottom w:val="single" w:color="BBBBBB" w:sz="4"/>
              <w:right w:val="single" w:color="BBBBBB" w:sz="4"/>
            </w:tcBorders>
            <w:shd w:fill="F7F9FC" w:val="clear"/>
            <w:tcMar>
              <w:top w:type="dxa" w:w="80"/>
              <w:left w:type="dxa" w:w="120"/>
              <w:bottom w:type="dxa" w:w="80"/>
              <w:right w:type="dxa" w:w="120"/>
            </w:tcMar>
          </w:tcPr>
          <w:p>
            <w:r>
              <w:rPr>
                <w:sz w:val="18"/>
                <w:szCs w:val="18"/>
              </w:rPr>
              <w:t xml:space="preserve">MINOR (workflow)</w:t>
            </w:r>
          </w:p>
        </w:tc>
        <w:tc>
          <w:tcPr>
            <w:tcW w:type="dxa" w:w="1860"/>
            <w:tcBorders>
              <w:top w:val="single" w:color="BBBBBB" w:sz="4"/>
              <w:left w:val="single" w:color="BBBBBB" w:sz="4"/>
              <w:bottom w:val="single" w:color="BBBBBB" w:sz="4"/>
              <w:right w:val="single" w:color="BBBBBB" w:sz="4"/>
            </w:tcBorders>
            <w:shd w:fill="F7F9FC" w:val="clear"/>
            <w:tcMar>
              <w:top w:type="dxa" w:w="80"/>
              <w:left w:type="dxa" w:w="120"/>
              <w:bottom w:type="dxa" w:w="80"/>
              <w:right w:type="dxa" w:w="120"/>
            </w:tcMar>
          </w:tcPr>
          <w:p>
            <w:r>
              <w:rPr>
                <w:sz w:val="18"/>
                <w:szCs w:val="18"/>
              </w:rPr>
              <w:t xml:space="preserve">package root</w:t>
            </w:r>
          </w:p>
        </w:tc>
      </w:tr>
      <w:tr>
        <w:trPr>
          <w:tblHeader w:val="false"/>
        </w:trPr>
        <w:tc>
          <w:tcPr>
            <w:tcW w:type="dxa" w:w="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18"/>
                <w:szCs w:val="18"/>
              </w:rPr>
              <w:t xml:space="preserve">17</w:t>
            </w:r>
          </w:p>
        </w:tc>
        <w:tc>
          <w:tcPr>
            <w:tcW w:type="dxa" w:w="5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18"/>
                <w:szCs w:val="18"/>
              </w:rPr>
              <w:t xml:space="preserve">Carlson TSI(Chl) coefficient 9.81 differs from Walker BATHTUB docs (9.84). Most peer-reviewed literature cites 9.81 (matching original Carlson 1977), so package value is defensible — but the discrepancy between cited authorities is not noted anywhere</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18"/>
                <w:szCs w:val="18"/>
              </w:rPr>
              <w:t xml:space="preserve">MINOR (docs)</w:t>
            </w:r>
          </w:p>
        </w:tc>
        <w:tc>
          <w:tcPr>
            <w:tcW w:type="dxa" w:w="18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18"/>
                <w:szCs w:val="18"/>
              </w:rPr>
              <w:t xml:space="preserve">tsi.R</w:t>
            </w:r>
          </w:p>
        </w:tc>
      </w:tr>
      <w:tr>
        <w:trPr>
          <w:tblHeader w:val="false"/>
        </w:trPr>
        <w:tc>
          <w:tcPr>
            <w:tcW w:type="dxa" w:w="600"/>
            <w:tcBorders>
              <w:top w:val="single" w:color="BBBBBB" w:sz="4"/>
              <w:left w:val="single" w:color="BBBBBB" w:sz="4"/>
              <w:bottom w:val="single" w:color="BBBBBB" w:sz="4"/>
              <w:right w:val="single" w:color="BBBBBB" w:sz="4"/>
            </w:tcBorders>
            <w:shd w:fill="F7F9FC" w:val="clear"/>
            <w:tcMar>
              <w:top w:type="dxa" w:w="80"/>
              <w:left w:type="dxa" w:w="120"/>
              <w:bottom w:type="dxa" w:w="80"/>
              <w:right w:type="dxa" w:w="120"/>
            </w:tcMar>
          </w:tcPr>
          <w:p>
            <w:r>
              <w:rPr>
                <w:sz w:val="18"/>
                <w:szCs w:val="18"/>
              </w:rPr>
              <w:t xml:space="preserve">18</w:t>
            </w:r>
          </w:p>
        </w:tc>
        <w:tc>
          <w:tcPr>
            <w:tcW w:type="dxa" w:w="5400"/>
            <w:tcBorders>
              <w:top w:val="single" w:color="BBBBBB" w:sz="4"/>
              <w:left w:val="single" w:color="BBBBBB" w:sz="4"/>
              <w:bottom w:val="single" w:color="BBBBBB" w:sz="4"/>
              <w:right w:val="single" w:color="BBBBBB" w:sz="4"/>
            </w:tcBorders>
            <w:shd w:fill="F7F9FC" w:val="clear"/>
            <w:tcMar>
              <w:top w:type="dxa" w:w="80"/>
              <w:left w:type="dxa" w:w="120"/>
              <w:bottom w:type="dxa" w:w="80"/>
              <w:right w:type="dxa" w:w="120"/>
            </w:tcMar>
          </w:tcPr>
          <w:p>
            <w:r>
              <w:rPr>
                <w:sz w:val="18"/>
                <w:szCs w:val="18"/>
              </w:rPr>
              <w:t xml:space="preserve">assert_okBATHTUB() has a latent error-message bug: if required_step = 'load' (the first step), it would access valid_steps[0] = character(0), producing 'NA' in the error string. Never triggered today but fragile.</w:t>
            </w:r>
          </w:p>
        </w:tc>
        <w:tc>
          <w:tcPr>
            <w:tcW w:type="dxa" w:w="1500"/>
            <w:tcBorders>
              <w:top w:val="single" w:color="BBBBBB" w:sz="4"/>
              <w:left w:val="single" w:color="BBBBBB" w:sz="4"/>
              <w:bottom w:val="single" w:color="BBBBBB" w:sz="4"/>
              <w:right w:val="single" w:color="BBBBBB" w:sz="4"/>
            </w:tcBorders>
            <w:shd w:fill="F7F9FC" w:val="clear"/>
            <w:tcMar>
              <w:top w:type="dxa" w:w="80"/>
              <w:left w:type="dxa" w:w="120"/>
              <w:bottom w:type="dxa" w:w="80"/>
              <w:right w:type="dxa" w:w="120"/>
            </w:tcMar>
          </w:tcPr>
          <w:p>
            <w:r>
              <w:rPr>
                <w:sz w:val="18"/>
                <w:szCs w:val="18"/>
              </w:rPr>
              <w:t xml:space="preserve">MINOR (defensive code)</w:t>
            </w:r>
          </w:p>
        </w:tc>
        <w:tc>
          <w:tcPr>
            <w:tcW w:type="dxa" w:w="1860"/>
            <w:tcBorders>
              <w:top w:val="single" w:color="BBBBBB" w:sz="4"/>
              <w:left w:val="single" w:color="BBBBBB" w:sz="4"/>
              <w:bottom w:val="single" w:color="BBBBBB" w:sz="4"/>
              <w:right w:val="single" w:color="BBBBBB" w:sz="4"/>
            </w:tcBorders>
            <w:shd w:fill="F7F9FC" w:val="clear"/>
            <w:tcMar>
              <w:top w:type="dxa" w:w="80"/>
              <w:left w:type="dxa" w:w="120"/>
              <w:bottom w:type="dxa" w:w="80"/>
              <w:right w:type="dxa" w:w="120"/>
            </w:tcMar>
          </w:tcPr>
          <w:p>
            <w:r>
              <w:rPr>
                <w:sz w:val="18"/>
                <w:szCs w:val="18"/>
              </w:rPr>
              <w:t xml:space="preserve">okBATHTUB-package.R line 93</w:t>
            </w:r>
          </w:p>
        </w:tc>
      </w:tr>
    </w:tbl>
    <w:p>
      <w:pPr>
        <w:pStyle w:val="Heading1"/>
        <w:spacing w:after="180" w:before="360"/>
      </w:pPr>
      <w:r>
        <w:t xml:space="preserve">Detailed findings</w:t>
      </w:r>
    </w:p>
    <w:p>
      <w:pPr>
        <w:pStyle w:val="Heading2"/>
        <w:spacing w:after="140" w:before="280"/>
      </w:pPr>
      <w:r>
        <w:t xml:space="preserve">1. Empty ok_reservoirs.rda dataset</w:t>
      </w:r>
    </w:p>
    <w:p>
      <w:pPr>
        <w:spacing w:after="120"/>
      </w:pPr>
      <w:r>
        <w:rPr>
          <w:b/>
          <w:bCs/>
          <w:color w:val="FFFFFF"/>
          <w:sz w:val="18"/>
          <w:szCs w:val="18"/>
          <w:shd w:fill="C0392B" w:val="clear"/>
        </w:rPr>
        <w:t xml:space="preserve"> [BLOCKER] </w:t>
      </w:r>
      <w:r>
        <w:rPr>
          <w:rFonts w:ascii="Courier New" w:cs="Courier New" w:eastAsia="Courier New" w:hAnsi="Courier New"/>
        </w:rPr>
        <w:t xml:space="preserve"> data/ok_reservoirs.rda</w:t>
      </w:r>
    </w:p>
    <w:p>
      <w:pPr>
        <w:spacing w:after="120"/>
      </w:pPr>
      <w:r>
        <w:rPr>
          <w:b/>
          <w:bCs/>
        </w:rPr>
        <w:t xml:space="preserve">Symptom: </w:t>
      </w:r>
      <w:r>
        <w:t xml:space="preserve">the bundled </w:t>
      </w:r>
      <w:r>
        <w:rPr>
          <w:rFonts w:ascii="Courier New" w:cs="Courier New" w:eastAsia="Courier New" w:hAnsi="Courier New"/>
        </w:rPr>
        <w:t xml:space="preserve">data/ok_reservoirs.rda</w:t>
      </w:r>
      <w:r>
        <w:t xml:space="preserve"> is 334 bytes; reading it shows a 0-row data frame with all 17 declared columns (lake_name, surface_area_ha, mean_depth_m, ecoregion, etc.) but every column is empty.</w:t>
      </w:r>
    </w:p>
    <w:p>
      <w:pPr>
        <w:spacing w:after="120"/>
      </w:pPr>
      <w:r>
        <w:rPr>
          <w:b/>
          <w:bCs/>
        </w:rPr>
        <w:t xml:space="preserve">Why it matters: </w:t>
      </w:r>
      <w:r>
        <w:t xml:space="preserve">The README documents this as a flagship feature: "morphometry for 123 OWRB LMP reservoirs." </w:t>
      </w:r>
      <w:r>
        <w:rPr>
          <w:rFonts w:ascii="Courier New" w:cs="Courier New" w:eastAsia="Courier New" w:hAnsi="Courier New"/>
        </w:rPr>
        <w:t xml:space="preserve">ok_reservoir()</w:t>
      </w:r>
      <w:r>
        <w:t xml:space="preserve">, </w:t>
      </w:r>
      <w:r>
        <w:rPr>
          <w:rFonts w:ascii="Courier New" w:cs="Courier New" w:eastAsia="Courier New" w:hAnsi="Courier New"/>
        </w:rPr>
        <w:t xml:space="preserve">ok_reservoir_summary()</w:t>
      </w:r>
      <w:r>
        <w:t xml:space="preserve">, and the getting-started vignette all assume the dataset is populated. The vignette at line 145 even includes:</w:t>
      </w:r>
    </w:p>
    <w:p>
      <w:pPr>
        <w:shd w:fill="F4F4F4" w:val="clear"/>
        <w:spacing w:after="80" w:before="80"/>
        <w:ind w:left="240"/>
      </w:pPr>
      <w:r>
        <w:rPr>
          <w:rFonts w:ascii="Courier New" w:cs="Courier New" w:eastAsia="Courier New" w:hAnsi="Courier New"/>
          <w:sz w:val="18"/>
          <w:szCs w:val="18"/>
        </w:rPr>
        <w:t xml:space="preserve">res &lt;- ok_reservoir("Arcadia")</w:t>
      </w:r>
      <w:r>
        <w:br/>
      </w:r>
      <w:r>
        <w:rPr>
          <w:rFonts w:ascii="Courier New" w:cs="Courier New" w:eastAsia="Courier New" w:hAnsi="Courier New"/>
          <w:sz w:val="18"/>
          <w:szCs w:val="18"/>
        </w:rPr>
        <w:t xml:space="preserve">if (nrow(res) == 0) {</w:t>
      </w:r>
      <w:r>
        <w:br/>
      </w:r>
      <w:r>
        <w:rPr>
          <w:rFonts w:ascii="Courier New" w:cs="Courier New" w:eastAsia="Courier New" w:hAnsi="Courier New"/>
          <w:sz w:val="18"/>
          <w:szCs w:val="18"/>
        </w:rPr>
        <w:t xml:space="preserve">  # Fallback: use known Arcadia Lake morphometry if not in local dataset</w:t>
      </w:r>
      <w:r>
        <w:br/>
      </w:r>
      <w:r>
        <w:rPr>
          <w:rFonts w:ascii="Courier New" w:cs="Courier New" w:eastAsia="Courier New" w:hAnsi="Courier New"/>
          <w:sz w:val="18"/>
          <w:szCs w:val="18"/>
        </w:rPr>
        <w:t xml:space="preserve">  res &lt;- data.frame(</w:t>
      </w:r>
      <w:r>
        <w:br/>
      </w:r>
      <w:r>
        <w:rPr>
          <w:rFonts w:ascii="Courier New" w:cs="Courier New" w:eastAsia="Courier New" w:hAnsi="Courier New"/>
          <w:sz w:val="18"/>
          <w:szCs w:val="18"/>
        </w:rPr>
        <w:t xml:space="preserve">    lake_name       = "Arcadia Lake",</w:t>
      </w:r>
      <w:r>
        <w:br/>
      </w:r>
      <w:r>
        <w:rPr>
          <w:rFonts w:ascii="Courier New" w:cs="Courier New" w:eastAsia="Courier New" w:hAnsi="Courier New"/>
          <w:sz w:val="18"/>
          <w:szCs w:val="18"/>
        </w:rPr>
        <w:t xml:space="preserve">    surface_area_ha = 890,</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p>
    <w:p>
      <w:pPr>
        <w:spacing w:after="120"/>
      </w:pPr>
      <w:r>
        <w:t xml:space="preserve">That fallback only makes sense if the author already knew the lookup returns 0 rows for every lake. Publishing a package with an empty data file under those circumstances is the kind of thing a reviewer will not be charitable about.</w:t>
      </w:r>
    </w:p>
    <w:p>
      <w:pPr>
        <w:spacing w:after="120"/>
      </w:pPr>
      <w:r>
        <w:rPr>
          <w:b/>
          <w:bCs/>
        </w:rPr>
        <w:t xml:space="preserve">Fix: </w:t>
      </w:r>
      <w:r>
        <w:t xml:space="preserve">populate </w:t>
      </w:r>
      <w:r>
        <w:rPr>
          <w:rFonts w:ascii="Courier New" w:cs="Courier New" w:eastAsia="Courier New" w:hAnsi="Courier New"/>
        </w:rPr>
        <w:t xml:space="preserve">data-raw/</w:t>
      </w:r>
      <w:r>
        <w:t xml:space="preserve"> with the script that builds ok_reservoirs.rda from the underlying USACE / OWRB / NID sources, rerun it, regenerate the .rda, verify with </w:t>
      </w:r>
      <w:r>
        <w:rPr>
          <w:rFonts w:ascii="Courier New" w:cs="Courier New" w:eastAsia="Courier New" w:hAnsi="Courier New"/>
        </w:rPr>
        <w:t xml:space="preserve">tools::resaveRdaFiles()</w:t>
      </w:r>
      <w:r>
        <w:t xml:space="preserve">, and remove the vignette fallback. Add a test that asserts </w:t>
      </w:r>
      <w:r>
        <w:rPr>
          <w:rFonts w:ascii="Courier New" w:cs="Courier New" w:eastAsia="Courier New" w:hAnsi="Courier New"/>
        </w:rPr>
        <w:t xml:space="preserve">nrow(ok_reservoirs) &gt; 100</w:t>
      </w:r>
      <w:r>
        <w:t xml:space="preserve"> so the next regression is caught.</w:t>
      </w:r>
    </w:p>
    <w:p>
      <w:pPr>
        <w:pStyle w:val="Heading2"/>
        <w:spacing w:after="140" w:before="280"/>
      </w:pPr>
      <w:r>
        <w:t xml:space="preserve">2. TP retention is not the Walker BATHTUB default</w:t>
      </w:r>
    </w:p>
    <w:p>
      <w:pPr>
        <w:spacing w:after="120"/>
      </w:pPr>
      <w:r>
        <w:rPr>
          <w:b/>
          <w:bCs/>
          <w:color w:val="FFFFFF"/>
          <w:sz w:val="18"/>
          <w:szCs w:val="18"/>
          <w:shd w:fill="D35400" w:val="clear"/>
        </w:rPr>
        <w:t xml:space="preserve"> [MAJOR (scientific)] </w:t>
      </w:r>
      <w:r>
        <w:rPr>
          <w:rFonts w:ascii="Courier New" w:cs="Courier New" w:eastAsia="Courier New" w:hAnsi="Courier New"/>
        </w:rPr>
        <w:t xml:space="preserve"> R/retention.R, R/okBATHTUB-package.R, README, vignettes</w:t>
      </w:r>
    </w:p>
    <w:p>
      <w:pPr>
        <w:spacing w:after="120"/>
      </w:pPr>
      <w:r>
        <w:rPr>
          <w:b/>
          <w:bCs/>
        </w:rPr>
        <w:t xml:space="preserve">What the package says (multiple places): </w:t>
      </w:r>
      <w:r>
        <w:t xml:space="preserve">the README states </w:t>
      </w:r>
      <w:r>
        <w:rPr>
          <w:i/>
          <w:iCs/>
        </w:rPr>
        <w:t xml:space="preserve">TP retention uses the Larsen-Mercier (1976) hydraulic residence time model</w:t>
      </w:r>
      <w:r>
        <w:t xml:space="preserve">, and the vignette states it is </w:t>
      </w:r>
      <w:r>
        <w:rPr>
          <w:i/>
          <w:iCs/>
        </w:rPr>
        <w:t xml:space="preserve">the Larsen-Mercier (1976) formulation from Walker (1996)</w:t>
      </w:r>
      <w:r>
        <w:t xml:space="preserve">. In </w:t>
      </w:r>
      <w:r>
        <w:rPr>
          <w:rFonts w:ascii="Courier New" w:cs="Courier New" w:eastAsia="Courier New" w:hAnsi="Courier New"/>
        </w:rPr>
        <w:t xml:space="preserve">retention.R</w:t>
      </w:r>
      <w:r>
        <w:t xml:space="preserve"> the comment reads </w:t>
      </w:r>
      <w:r>
        <w:rPr>
          <w:i/>
          <w:iCs/>
        </w:rPr>
        <w:t xml:space="preserve">Larsen-Mercier (Walker BATHTUB default)</w:t>
      </w:r>
      <w:r>
        <w:t xml:space="preserve">.</w:t>
      </w:r>
    </w:p>
    <w:p>
      <w:pPr>
        <w:spacing w:after="120"/>
      </w:pPr>
      <w:r>
        <w:rPr>
          <w:b/>
          <w:bCs/>
        </w:rPr>
        <w:t xml:space="preserve">What Walker (1996) actually says: </w:t>
      </w:r>
      <w:r>
        <w:t xml:space="preserve">from the BATHTUB "Table 2: Model Equations and Options" reference at wwwalker.net, the phosphorus sedimentation models include nine options. </w:t>
      </w:r>
      <w:r>
        <w:rPr>
          <w:b/>
          <w:bCs/>
        </w:rPr>
        <w:t xml:space="preserve">Model 1 [default]</w:t>
      </w:r>
      <w:r>
        <w:t xml:space="preserve"> is second-order available-P with A1 = 0.17 × Qs/(Qs + 13.3) and A2 = 2. The form </w:t>
      </w:r>
      <w:r>
        <w:rPr>
          <w:rFonts w:ascii="Courier New" w:cs="Courier New" w:eastAsia="Courier New" w:hAnsi="Courier New"/>
        </w:rPr>
        <w:t xml:space="preserve">R = 1/(1+1/√τ)</w:t>
      </w:r>
      <w:r>
        <w:t xml:space="preserve"> is mathematically equivalent to </w:t>
      </w:r>
      <w:r>
        <w:rPr>
          <w:rFonts w:ascii="Courier New" w:cs="Courier New" w:eastAsia="Courier New" w:hAnsi="Courier New"/>
        </w:rPr>
        <w:t xml:space="preserve">C_lake = C_in/(1+√τ)</w:t>
      </w:r>
      <w:r>
        <w:t xml:space="preserve">, which is Walker's </w:t>
      </w:r>
      <w:r>
        <w:rPr>
          <w:b/>
          <w:bCs/>
        </w:rPr>
        <w:t xml:space="preserve">Model 5</w:t>
      </w:r>
      <w:r>
        <w:t xml:space="preserve"> (Vollenweider 1976, Northern Lakes), an </w:t>
      </w:r>
      <w:r>
        <w:rPr>
          <w:i/>
          <w:iCs/>
        </w:rPr>
        <w:t xml:space="preserve">alternative</w:t>
      </w:r>
      <w:r>
        <w:t xml:space="preserve"> model that Walker explicitly notes is "not calibrated to CE reservoir data" and "likely to require calibration by the user to site-specific data."</w:t>
      </w:r>
    </w:p>
    <w:p>
      <w:pPr>
        <w:spacing w:after="120"/>
      </w:pPr>
      <w:r>
        <w:rPr>
          <w:b/>
          <w:bCs/>
        </w:rPr>
        <w:t xml:space="preserve">Quantitative consequence: </w:t>
      </w:r>
      <w:r>
        <w:t xml:space="preserve">For the canonical Arcadia-like case in the README (Pi = 120 µg/L, τ = 0.831 yr, Z = 4.2 m, Qs = 5.05 m/yr):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200"/>
        <w:gridCol w:w="1960"/>
      </w:tblGrid>
      <w:tr>
        <w:trPr>
          <w:tblHeader/>
        </w:trPr>
        <w:tc>
          <w:tcPr>
            <w:tcW w:type="dxa" w:w="52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r>
              <w:rPr>
                <w:b/>
                <w:bCs/>
                <w:color w:val="FFFFFF"/>
                <w:sz w:val="18"/>
                <w:szCs w:val="18"/>
              </w:rPr>
              <w:t xml:space="preserve">Model</w:t>
            </w:r>
          </w:p>
        </w:tc>
        <w:tc>
          <w:tcPr>
            <w:tcW w:type="dxa" w:w="22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r>
              <w:rPr>
                <w:b/>
                <w:bCs/>
                <w:color w:val="FFFFFF"/>
                <w:sz w:val="18"/>
                <w:szCs w:val="18"/>
              </w:rPr>
              <w:t xml:space="preserve">In-lake TP (µg/L)</w:t>
            </w:r>
          </w:p>
        </w:tc>
        <w:tc>
          <w:tcPr>
            <w:tcW w:type="dxa" w:w="196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r>
              <w:rPr>
                <w:b/>
                <w:bCs/>
                <w:color w:val="FFFFFF"/>
                <w:sz w:val="18"/>
                <w:szCs w:val="18"/>
              </w:rPr>
              <w:t xml:space="preserve">Δ from Model 1</w:t>
            </w:r>
          </w:p>
        </w:tc>
      </w:tr>
      <w:tr>
        <w:trPr>
          <w:tblHeader w:val="false"/>
        </w:trPr>
        <w:tc>
          <w:tcPr>
            <w:tcW w:type="dxa" w:w="5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19"/>
                <w:szCs w:val="19"/>
              </w:rPr>
              <w:t xml:space="preserve">Walker BATHTUB Model 1 — the actual default</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19"/>
                <w:szCs w:val="19"/>
              </w:rPr>
              <w:t xml:space="preserve">44.16</w:t>
            </w:r>
          </w:p>
        </w:tc>
        <w:tc>
          <w:tcPr>
            <w:tcW w:type="dxa" w:w="1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19"/>
                <w:szCs w:val="19"/>
              </w:rPr>
              <w:t xml:space="preserve">baseline</w:t>
            </w:r>
          </w:p>
        </w:tc>
      </w:tr>
      <w:tr>
        <w:trPr>
          <w:tblHeader w:val="false"/>
        </w:trPr>
        <w:tc>
          <w:tcPr>
            <w:tcW w:type="dxa" w:w="5200"/>
            <w:tcBorders>
              <w:top w:val="single" w:color="BBBBBB" w:sz="4"/>
              <w:left w:val="single" w:color="BBBBBB" w:sz="4"/>
              <w:bottom w:val="single" w:color="BBBBBB" w:sz="4"/>
              <w:right w:val="single" w:color="BBBBBB" w:sz="4"/>
            </w:tcBorders>
            <w:shd w:fill="F7F9FC" w:val="clear"/>
            <w:tcMar>
              <w:top w:type="dxa" w:w="80"/>
              <w:left w:type="dxa" w:w="120"/>
              <w:bottom w:type="dxa" w:w="80"/>
              <w:right w:type="dxa" w:w="120"/>
            </w:tcMar>
          </w:tcPr>
          <w:p>
            <w:r>
              <w:rPr>
                <w:sz w:val="19"/>
                <w:szCs w:val="19"/>
              </w:rPr>
              <w:t xml:space="preserve">Walker BATHTUB Model 3 — simple second-order</w:t>
            </w:r>
          </w:p>
        </w:tc>
        <w:tc>
          <w:tcPr>
            <w:tcW w:type="dxa" w:w="2200"/>
            <w:tcBorders>
              <w:top w:val="single" w:color="BBBBBB" w:sz="4"/>
              <w:left w:val="single" w:color="BBBBBB" w:sz="4"/>
              <w:bottom w:val="single" w:color="BBBBBB" w:sz="4"/>
              <w:right w:val="single" w:color="BBBBBB" w:sz="4"/>
            </w:tcBorders>
            <w:shd w:fill="F7F9FC" w:val="clear"/>
            <w:tcMar>
              <w:top w:type="dxa" w:w="80"/>
              <w:left w:type="dxa" w:w="120"/>
              <w:bottom w:type="dxa" w:w="80"/>
              <w:right w:type="dxa" w:w="120"/>
            </w:tcMar>
          </w:tcPr>
          <w:p>
            <w:r>
              <w:rPr>
                <w:sz w:val="19"/>
                <w:szCs w:val="19"/>
              </w:rPr>
              <w:t xml:space="preserve">32.46</w:t>
            </w:r>
          </w:p>
        </w:tc>
        <w:tc>
          <w:tcPr>
            <w:tcW w:type="dxa" w:w="1960"/>
            <w:tcBorders>
              <w:top w:val="single" w:color="BBBBBB" w:sz="4"/>
              <w:left w:val="single" w:color="BBBBBB" w:sz="4"/>
              <w:bottom w:val="single" w:color="BBBBBB" w:sz="4"/>
              <w:right w:val="single" w:color="BBBBBB" w:sz="4"/>
            </w:tcBorders>
            <w:shd w:fill="F7F9FC" w:val="clear"/>
            <w:tcMar>
              <w:top w:type="dxa" w:w="80"/>
              <w:left w:type="dxa" w:w="120"/>
              <w:bottom w:type="dxa" w:w="80"/>
              <w:right w:type="dxa" w:w="120"/>
            </w:tcMar>
          </w:tcPr>
          <w:p>
            <w:r>
              <w:rPr>
                <w:sz w:val="19"/>
                <w:szCs w:val="19"/>
              </w:rPr>
              <w:t xml:space="preserve">−26.5%</w:t>
            </w:r>
          </w:p>
        </w:tc>
      </w:tr>
      <w:tr>
        <w:trPr>
          <w:tblHeader w:val="false"/>
        </w:trPr>
        <w:tc>
          <w:tcPr>
            <w:tcW w:type="dxa" w:w="5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19"/>
                <w:szCs w:val="19"/>
              </w:rPr>
              <w:t xml:space="preserve">okBATHTUB (Larsen-Mercier = Walker Model 5)</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19"/>
                <w:szCs w:val="19"/>
              </w:rPr>
              <w:t xml:space="preserve">62.77</w:t>
            </w:r>
          </w:p>
        </w:tc>
        <w:tc>
          <w:tcPr>
            <w:tcW w:type="dxa" w:w="19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sz w:val="19"/>
                <w:szCs w:val="19"/>
              </w:rPr>
              <w:t xml:space="preserve">+42.2%</w:t>
            </w:r>
          </w:p>
        </w:tc>
      </w:tr>
    </w:tbl>
    <w:p>
      <w:pPr>
        <w:spacing w:after="120"/>
      </w:pPr>
      <w:r>
        <w:t xml:space="preserve">That is a ~40% over-prediction of in-lake TP relative to the actual Walker default, and ~90% relative to the simple second-order default. The Oklahoma chlorophyll regression then partly compensates by being shallower than Walker's slope, but the underlying TP that feeds it is biased high. For a regulatory tool that translates load-reduction percentages into trophic-state targets, the difference is large enough to change </w:t>
      </w:r>
      <w:r>
        <w:rPr>
          <w:i/>
          <w:iCs/>
        </w:rPr>
        <w:t xml:space="preserve">policy</w:t>
      </w:r>
      <w:r>
        <w:t xml:space="preserve"> recommendations.</w:t>
      </w:r>
    </w:p>
    <w:p>
      <w:pPr>
        <w:spacing w:after="120"/>
      </w:pPr>
      <w:r>
        <w:rPr>
          <w:b/>
          <w:bCs/>
        </w:rPr>
        <w:t xml:space="preserve">Fix: </w:t>
      </w:r>
      <w:r>
        <w:t xml:space="preserve">either (a) re-document the package as implementing Vollenweider/Larsen-Mercier rather than "Walker BATHTUB default," or (b) implement Walker's actual Model 1 (the second-order available-P form, which has a quadratic-formula solution). Option (a) is far easier and probably honest; option (b) is the right thing to do if the goal is genuinely "BATHTUB in R." Either way, the documentation must stop calling Larsen-Mercier the Walker default — it isn't.</w:t>
      </w:r>
    </w:p>
    <w:p>
      <w:pPr>
        <w:spacing w:after="120"/>
      </w:pPr>
      <w:r>
        <w:rPr>
          <w:b/>
          <w:bCs/>
        </w:rPr>
        <w:t xml:space="preserve">Bonus: </w:t>
      </w:r>
      <w:r>
        <w:t xml:space="preserve">the TN retention </w:t>
      </w:r>
      <w:r>
        <w:rPr>
          <w:rFonts w:ascii="Courier New" w:cs="Courier New" w:eastAsia="Courier New" w:hAnsi="Courier New"/>
        </w:rPr>
        <w:t xml:space="preserve">R_TN = k_TN/(k_TN + qs)</w:t>
      </w:r>
      <w:r>
        <w:t xml:space="preserve"> with default k_TN = 10 m/yr is similarly attributed to "Walker default." Walker's actual TN Model 1 default is a second-order available-N form with B1 = 0.0045 × Qs/(Qs + 7.2). Same correction needed.</w:t>
      </w:r>
    </w:p>
    <w:p>
      <w:pPr>
        <w:pStyle w:val="Heading2"/>
        <w:spacing w:after="140" w:before="280"/>
      </w:pPr>
      <w:r>
        <w:t xml:space="preserve">3. AWQMS TN reconstruction double-counts nitrogen species</w:t>
      </w:r>
    </w:p>
    <w:p>
      <w:pPr>
        <w:spacing w:after="120"/>
      </w:pPr>
      <w:r>
        <w:rPr>
          <w:b/>
          <w:bCs/>
          <w:color w:val="FFFFFF"/>
          <w:sz w:val="18"/>
          <w:szCs w:val="18"/>
          <w:shd w:fill="D35400" w:val="clear"/>
        </w:rPr>
        <w:t xml:space="preserve"> [MAJOR (scientific)] </w:t>
      </w:r>
      <w:r>
        <w:rPr>
          <w:rFonts w:ascii="Courier New" w:cs="Courier New" w:eastAsia="Courier New" w:hAnsi="Courier New"/>
        </w:rPr>
        <w:t xml:space="preserve"> R/awqms.R lines 327-370</w:t>
      </w:r>
    </w:p>
    <w:p>
      <w:pPr>
        <w:spacing w:after="120"/>
      </w:pPr>
      <w:r>
        <w:rPr>
          <w:b/>
          <w:bCs/>
        </w:rPr>
        <w:t xml:space="preserve">Code at lines 271-281: </w:t>
      </w:r>
      <w:r>
        <w:t xml:space="preserve">every nitrogen characteristic name in this list is mapped to </w:t>
      </w:r>
      <w:r>
        <w:rPr>
          <w:rFonts w:ascii="Courier New" w:cs="Courier New" w:eastAsia="Courier New" w:hAnsi="Courier New"/>
        </w:rPr>
        <w:t xml:space="preserve">param_group = 'tn_component'</w:t>
      </w:r>
      <w:r>
        <w:t xml:space="preserve">:</w:t>
      </w:r>
    </w:p>
    <w:p>
      <w:pPr>
        <w:shd w:fill="F4F4F4" w:val="clear"/>
        <w:spacing w:after="80" w:before="80"/>
        <w:ind w:left="240"/>
      </w:pPr>
      <w:r>
        <w:rPr>
          <w:rFonts w:ascii="Courier New" w:cs="Courier New" w:eastAsia="Courier New" w:hAnsi="Courier New"/>
          <w:sz w:val="18"/>
          <w:szCs w:val="18"/>
        </w:rPr>
        <w:t xml:space="preserve">"Total Nitrogen, mixed forms", "Nitrogen",</w:t>
      </w:r>
      <w:r>
        <w:br/>
      </w:r>
      <w:r>
        <w:rPr>
          <w:rFonts w:ascii="Courier New" w:cs="Courier New" w:eastAsia="Courier New" w:hAnsi="Courier New"/>
          <w:sz w:val="18"/>
          <w:szCs w:val="18"/>
        </w:rPr>
        <w:t xml:space="preserve">"Total Kjeldahl nitrogen", "Kjeldahl nitrogen",</w:t>
      </w:r>
      <w:r>
        <w:br/>
      </w:r>
      <w:r>
        <w:rPr>
          <w:rFonts w:ascii="Courier New" w:cs="Courier New" w:eastAsia="Courier New" w:hAnsi="Courier New"/>
          <w:sz w:val="18"/>
          <w:szCs w:val="18"/>
        </w:rPr>
        <w:t xml:space="preserve">"Nitrate", "Nitrite", "Nitrate + Nitrite",</w:t>
      </w:r>
      <w:r>
        <w:br/>
      </w:r>
      <w:r>
        <w:rPr>
          <w:rFonts w:ascii="Courier New" w:cs="Courier New" w:eastAsia="Courier New" w:hAnsi="Courier New"/>
          <w:sz w:val="18"/>
          <w:szCs w:val="18"/>
        </w:rPr>
        <w:t xml:space="preserve">"Ammonia", "Ammonia and ammonium"</w:t>
      </w:r>
    </w:p>
    <w:p>
      <w:pPr>
        <w:spacing w:after="120"/>
      </w:pPr>
      <w:r>
        <w:t xml:space="preserve">At line 345-348 these are then summed for any station-year that does not have a direct "Total Nitrogen" measurement:</w:t>
      </w:r>
    </w:p>
    <w:p>
      <w:pPr>
        <w:shd w:fill="F4F4F4" w:val="clear"/>
        <w:spacing w:after="80" w:before="80"/>
        <w:ind w:left="240"/>
      </w:pPr>
      <w:r>
        <w:rPr>
          <w:rFonts w:ascii="Courier New" w:cs="Courier New" w:eastAsia="Courier New" w:hAnsi="Courier New"/>
          <w:sz w:val="18"/>
          <w:szCs w:val="18"/>
        </w:rPr>
        <w:t xml:space="preserve">tn_components &lt;- df_units %&gt;% dplyr::filter(...) %&gt;%</w:t>
      </w:r>
      <w:r>
        <w:br/>
      </w:r>
      <w:r>
        <w:rPr>
          <w:rFonts w:ascii="Courier New" w:cs="Courier New" w:eastAsia="Courier New" w:hAnsi="Courier New"/>
          <w:sz w:val="18"/>
          <w:szCs w:val="18"/>
        </w:rPr>
        <w:t xml:space="preserve">  dplyr::group_by(monitoring_location_id, ..., sample_date, ...) %&gt;%</w:t>
      </w:r>
      <w:r>
        <w:br/>
      </w:r>
      <w:r>
        <w:rPr>
          <w:rFonts w:ascii="Courier New" w:cs="Courier New" w:eastAsia="Courier New" w:hAnsi="Courier New"/>
          <w:sz w:val="18"/>
          <w:szCs w:val="18"/>
        </w:rPr>
        <w:t xml:space="preserve">  dplyr::summarise(</w:t>
      </w:r>
      <w:r>
        <w:br/>
      </w:r>
      <w:r>
        <w:rPr>
          <w:rFonts w:ascii="Courier New" w:cs="Courier New" w:eastAsia="Courier New" w:hAnsi="Courier New"/>
          <w:sz w:val="18"/>
          <w:szCs w:val="18"/>
        </w:rPr>
        <w:t xml:space="preserve">    result_value = sum(result_value, na.rm = TRUE),</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  )</w:t>
      </w:r>
    </w:p>
    <w:p>
      <w:pPr>
        <w:spacing w:after="120"/>
      </w:pPr>
      <w:r>
        <w:rPr>
          <w:b/>
          <w:bCs/>
        </w:rPr>
        <w:t xml:space="preserve">The bug: </w:t>
      </w:r>
      <w:r>
        <w:t xml:space="preserve">the canonical reconstruction is </w:t>
      </w:r>
      <w:r>
        <w:rPr>
          <w:i/>
          <w:iCs/>
        </w:rPr>
        <w:t xml:space="preserve">TN ≈ TKN + NOx</w:t>
      </w:r>
      <w:r>
        <w:t xml:space="preserve"> where TKN already contains organic-N + ammonia-N, and NOx = NO3+NO2. The pipeline as written instead adds every nitrogen species it finds, so for a sample that reports TKN and Ammonia separately, ammonia is counted twice. For a sample that reports both NO3+NO2 and the individual NO3 and NO2, the inorganic-N is counted twice. For a sample with both "Ammonia" and "Ammonia and ammonium" (a near-duplicate AWQMS characteristic name), ammonia is again double-counted.</w:t>
      </w:r>
    </w:p>
    <w:p>
      <w:pPr>
        <w:spacing w:after="120"/>
      </w:pPr>
      <w:r>
        <w:rPr>
          <w:b/>
          <w:bCs/>
        </w:rPr>
        <w:t xml:space="preserve">Fix: </w:t>
      </w:r>
      <w:r>
        <w:t xml:space="preserve">rewrite the reconstruction logic to pick exactly one TKN value per sample-date (prefer "Total Kjeldahl nitrogen," fall back to "Kjeldahl nitrogen") and exactly one NOx value (prefer "Nitrate + Nitrite" sum, fall back to </w:t>
      </w:r>
      <w:r>
        <w:rPr>
          <w:rFonts w:ascii="Courier New" w:cs="Courier New" w:eastAsia="Courier New" w:hAnsi="Courier New"/>
        </w:rPr>
        <w:t xml:space="preserve">max(Nitrate, 0) + max(Nitrite, 0)</w:t>
      </w:r>
      <w:r>
        <w:t xml:space="preserve">). Drop the loose Ammonia / Ammonia and ammonium rows — they are already in TKN. Add a unit test fed with synthetic AWQMS records that asserts the reconstructed TN equals the expected hand-calculated value.</w:t>
      </w:r>
    </w:p>
    <w:p>
      <w:pPr>
        <w:spacing w:after="120"/>
      </w:pPr>
      <w:r>
        <w:rPr>
          <w:b/>
          <w:bCs/>
        </w:rPr>
        <w:t xml:space="preserve">Calibration implication: </w:t>
      </w:r>
      <w:r>
        <w:t xml:space="preserve">if any of the Oklahoma coefficients in </w:t>
      </w:r>
      <w:r>
        <w:rPr>
          <w:rFonts w:ascii="Courier New" w:cs="Courier New" w:eastAsia="Courier New" w:hAnsi="Courier New"/>
        </w:rPr>
        <w:t xml:space="preserve">.oklahoma_coefficients()</w:t>
      </w:r>
      <w:r>
        <w:t xml:space="preserve"> were calibrated against TN values produced by this same pipeline, those coefficients are biased and need to be re-fit after the reconstruction is fixed. (The current Chl-a and Secchi regressions are TP-driven, so they may be fine — but if any future TN-aware regression is planned, fix this first.)</w:t>
      </w:r>
    </w:p>
    <w:p>
      <w:pPr>
        <w:pStyle w:val="Heading2"/>
        <w:spacing w:after="140" w:before="280"/>
      </w:pPr>
      <w:r>
        <w:t xml:space="preserve">4. Internal inconsistency in calibration sample sizes</w:t>
      </w:r>
    </w:p>
    <w:p>
      <w:pPr>
        <w:spacing w:after="120"/>
      </w:pPr>
      <w:r>
        <w:rPr>
          <w:b/>
          <w:bCs/>
          <w:color w:val="FFFFFF"/>
          <w:sz w:val="18"/>
          <w:szCs w:val="18"/>
          <w:shd w:fill="D35400" w:val="clear"/>
        </w:rPr>
        <w:t xml:space="preserve"> [MAJOR (data integrity)] </w:t>
      </w:r>
      <w:r>
        <w:rPr>
          <w:rFonts w:ascii="Courier New" w:cs="Courier New" w:eastAsia="Courier New" w:hAnsi="Courier New"/>
        </w:rPr>
        <w:t xml:space="preserve"> R/okBATHTUB-package.R lines 305-349</w:t>
      </w:r>
    </w:p>
    <w:p>
      <w:pPr>
        <w:spacing w:after="120"/>
      </w:pPr>
      <w:r>
        <w:t xml:space="preserve">The Oklahoma calibration coefficients in .oklahoma_coefficients() are annotated with the sample sizes used to fit each regression. The metadata is mutually inconsistent: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400"/>
        <w:gridCol w:w="1500"/>
        <w:gridCol w:w="1700"/>
        <w:gridCol w:w="1600"/>
      </w:tblGrid>
      <w:tr>
        <w:trPr>
          <w:tblHeader/>
        </w:trPr>
        <w:tc>
          <w:tcPr>
            <w:tcW w:type="dxa" w:w="316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r>
              <w:rPr>
                <w:b/>
                <w:bCs/>
                <w:color w:val="FFFFFF"/>
                <w:sz w:val="17"/>
                <w:szCs w:val="17"/>
              </w:rPr>
              <w:t xml:space="preserve">Ecoregion / Pool</w:t>
            </w:r>
          </w:p>
        </w:tc>
        <w:tc>
          <w:tcPr>
            <w:tcW w:type="dxa" w:w="14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r>
              <w:rPr>
                <w:b/>
                <w:bCs/>
                <w:color w:val="FFFFFF"/>
                <w:sz w:val="17"/>
                <w:szCs w:val="17"/>
              </w:rPr>
              <w:t xml:space="preserve">Chl-a n_obs</w:t>
            </w:r>
          </w:p>
        </w:tc>
        <w:tc>
          <w:tcPr>
            <w:tcW w:type="dxa" w:w="15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r>
              <w:rPr>
                <w:b/>
                <w:bCs/>
                <w:color w:val="FFFFFF"/>
                <w:sz w:val="17"/>
                <w:szCs w:val="17"/>
              </w:rPr>
              <w:t xml:space="preserve">Chl-a n_lakes</w:t>
            </w:r>
          </w:p>
        </w:tc>
        <w:tc>
          <w:tcPr>
            <w:tcW w:type="dxa" w:w="17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r>
              <w:rPr>
                <w:b/>
                <w:bCs/>
                <w:color w:val="FFFFFF"/>
                <w:sz w:val="17"/>
                <w:szCs w:val="17"/>
              </w:rPr>
              <w:t xml:space="preserve">Secchi n_obs</w:t>
            </w:r>
          </w:p>
        </w:tc>
        <w:tc>
          <w:tcPr>
            <w:tcW w:type="dxa" w:w="1600"/>
            <w:tcBorders>
              <w:top w:val="single" w:color="BBBBBB" w:sz="4"/>
              <w:left w:val="single" w:color="BBBBBB" w:sz="4"/>
              <w:bottom w:val="single" w:color="BBBBBB" w:sz="4"/>
              <w:right w:val="single" w:color="BBBBBB" w:sz="4"/>
            </w:tcBorders>
            <w:shd w:fill="1F3A5F" w:val="clear"/>
            <w:tcMar>
              <w:top w:type="dxa" w:w="80"/>
              <w:left w:type="dxa" w:w="120"/>
              <w:bottom w:type="dxa" w:w="80"/>
              <w:right w:type="dxa" w:w="120"/>
            </w:tcMar>
          </w:tcPr>
          <w:p>
            <w:r>
              <w:rPr>
                <w:b/>
                <w:bCs/>
                <w:color w:val="FFFFFF"/>
                <w:sz w:val="17"/>
                <w:szCs w:val="17"/>
              </w:rPr>
              <w:t xml:space="preserve">Secchi n_lakes</w:t>
            </w:r>
          </w:p>
        </w:tc>
      </w:tr>
      <w:tr>
        <w:trPr>
          <w:tblHeader w:val="false"/>
        </w:trPr>
        <w:tc>
          <w:tcPr>
            <w:tcW w:type="dxa" w:w="3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b w:val="false"/>
                <w:bCs w:val="false"/>
                <w:sz w:val="18"/>
                <w:szCs w:val="18"/>
              </w:rPr>
              <w:t xml:space="preserve">Cross Timbers (ecoregion)</w:t>
            </w:r>
          </w:p>
        </w:tc>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b w:val="false"/>
                <w:bCs w:val="false"/>
                <w:sz w:val="18"/>
                <w:szCs w:val="18"/>
              </w:rPr>
              <w:t xml:space="preserve">181</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b w:val="false"/>
                <w:bCs w:val="false"/>
                <w:sz w:val="18"/>
                <w:szCs w:val="18"/>
              </w:rPr>
              <w:t xml:space="preserve">40</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b w:val="false"/>
                <w:bCs w:val="false"/>
                <w:sz w:val="18"/>
                <w:szCs w:val="18"/>
              </w:rPr>
              <w:t xml:space="preserve">265</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b w:val="false"/>
                <w:bCs w:val="false"/>
                <w:sz w:val="18"/>
                <w:szCs w:val="18"/>
              </w:rPr>
              <w:t xml:space="preserve">36</w:t>
            </w:r>
          </w:p>
        </w:tc>
      </w:tr>
      <w:tr>
        <w:trPr>
          <w:tblHeader w:val="false"/>
        </w:trPr>
        <w:tc>
          <w:tcPr>
            <w:tcW w:type="dxa" w:w="3160"/>
            <w:tcBorders>
              <w:top w:val="single" w:color="BBBBBB" w:sz="4"/>
              <w:left w:val="single" w:color="BBBBBB" w:sz="4"/>
              <w:bottom w:val="single" w:color="BBBBBB" w:sz="4"/>
              <w:right w:val="single" w:color="BBBBBB" w:sz="4"/>
            </w:tcBorders>
            <w:shd w:fill="F7F9FC" w:val="clear"/>
            <w:tcMar>
              <w:top w:type="dxa" w:w="80"/>
              <w:left w:type="dxa" w:w="120"/>
              <w:bottom w:type="dxa" w:w="80"/>
              <w:right w:type="dxa" w:w="120"/>
            </w:tcMar>
          </w:tcPr>
          <w:p>
            <w:r>
              <w:rPr>
                <w:b w:val="false"/>
                <w:bCs w:val="false"/>
                <w:sz w:val="18"/>
                <w:szCs w:val="18"/>
              </w:rPr>
              <w:t xml:space="preserve">Central OK/TX Plains (ecoregion)</w:t>
            </w:r>
          </w:p>
        </w:tc>
        <w:tc>
          <w:tcPr>
            <w:tcW w:type="dxa" w:w="1400"/>
            <w:tcBorders>
              <w:top w:val="single" w:color="BBBBBB" w:sz="4"/>
              <w:left w:val="single" w:color="BBBBBB" w:sz="4"/>
              <w:bottom w:val="single" w:color="BBBBBB" w:sz="4"/>
              <w:right w:val="single" w:color="BBBBBB" w:sz="4"/>
            </w:tcBorders>
            <w:shd w:fill="F7F9FC" w:val="clear"/>
            <w:tcMar>
              <w:top w:type="dxa" w:w="80"/>
              <w:left w:type="dxa" w:w="120"/>
              <w:bottom w:type="dxa" w:w="80"/>
              <w:right w:type="dxa" w:w="120"/>
            </w:tcMar>
          </w:tcPr>
          <w:p>
            <w:r>
              <w:rPr>
                <w:b w:val="false"/>
                <w:bCs w:val="false"/>
                <w:sz w:val="18"/>
                <w:szCs w:val="18"/>
              </w:rPr>
              <w:t xml:space="preserve">37</w:t>
            </w:r>
          </w:p>
        </w:tc>
        <w:tc>
          <w:tcPr>
            <w:tcW w:type="dxa" w:w="1500"/>
            <w:tcBorders>
              <w:top w:val="single" w:color="BBBBBB" w:sz="4"/>
              <w:left w:val="single" w:color="BBBBBB" w:sz="4"/>
              <w:bottom w:val="single" w:color="BBBBBB" w:sz="4"/>
              <w:right w:val="single" w:color="BBBBBB" w:sz="4"/>
            </w:tcBorders>
            <w:shd w:fill="F7F9FC" w:val="clear"/>
            <w:tcMar>
              <w:top w:type="dxa" w:w="80"/>
              <w:left w:type="dxa" w:w="120"/>
              <w:bottom w:type="dxa" w:w="80"/>
              <w:right w:type="dxa" w:w="120"/>
            </w:tcMar>
          </w:tcPr>
          <w:p>
            <w:r>
              <w:rPr>
                <w:b w:val="false"/>
                <w:bCs w:val="false"/>
                <w:sz w:val="18"/>
                <w:szCs w:val="18"/>
              </w:rPr>
              <w:t xml:space="preserve">10</w:t>
            </w:r>
          </w:p>
        </w:tc>
        <w:tc>
          <w:tcPr>
            <w:tcW w:type="dxa" w:w="1700"/>
            <w:tcBorders>
              <w:top w:val="single" w:color="BBBBBB" w:sz="4"/>
              <w:left w:val="single" w:color="BBBBBB" w:sz="4"/>
              <w:bottom w:val="single" w:color="BBBBBB" w:sz="4"/>
              <w:right w:val="single" w:color="BBBBBB" w:sz="4"/>
            </w:tcBorders>
            <w:shd w:fill="F7F9FC" w:val="clear"/>
            <w:tcMar>
              <w:top w:type="dxa" w:w="80"/>
              <w:left w:type="dxa" w:w="120"/>
              <w:bottom w:type="dxa" w:w="80"/>
              <w:right w:type="dxa" w:w="120"/>
            </w:tcMar>
          </w:tcPr>
          <w:p>
            <w:r>
              <w:rPr>
                <w:b w:val="false"/>
                <w:bCs w:val="false"/>
                <w:sz w:val="18"/>
                <w:szCs w:val="18"/>
              </w:rPr>
              <w:t xml:space="preserve">26</w:t>
            </w:r>
          </w:p>
        </w:tc>
        <w:tc>
          <w:tcPr>
            <w:tcW w:type="dxa" w:w="1600"/>
            <w:tcBorders>
              <w:top w:val="single" w:color="BBBBBB" w:sz="4"/>
              <w:left w:val="single" w:color="BBBBBB" w:sz="4"/>
              <w:bottom w:val="single" w:color="BBBBBB" w:sz="4"/>
              <w:right w:val="single" w:color="BBBBBB" w:sz="4"/>
            </w:tcBorders>
            <w:shd w:fill="F7F9FC" w:val="clear"/>
            <w:tcMar>
              <w:top w:type="dxa" w:w="80"/>
              <w:left w:type="dxa" w:w="120"/>
              <w:bottom w:type="dxa" w:w="80"/>
              <w:right w:type="dxa" w:w="120"/>
            </w:tcMar>
          </w:tcPr>
          <w:p>
            <w:r>
              <w:rPr>
                <w:b w:val="false"/>
                <w:bCs w:val="false"/>
                <w:sz w:val="18"/>
                <w:szCs w:val="18"/>
              </w:rPr>
              <w:t xml:space="preserve">12</w:t>
            </w:r>
          </w:p>
        </w:tc>
      </w:tr>
      <w:tr>
        <w:trPr>
          <w:tblHeader w:val="false"/>
        </w:trPr>
        <w:tc>
          <w:tcPr>
            <w:tcW w:type="dxa" w:w="31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b w:val="false"/>
                <w:bCs w:val="false"/>
                <w:sz w:val="18"/>
                <w:szCs w:val="18"/>
              </w:rPr>
              <w:t xml:space="preserve">Ozark Highlands (ecoregion)</w:t>
            </w:r>
          </w:p>
        </w:tc>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b w:val="false"/>
                <w:bCs w:val="false"/>
                <w:sz w:val="18"/>
                <w:szCs w:val="18"/>
              </w:rPr>
              <w:t xml:space="preserve">20</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b w:val="false"/>
                <w:bCs w:val="false"/>
                <w:sz w:val="18"/>
                <w:szCs w:val="18"/>
              </w:rPr>
              <w:t xml:space="preserve">14</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b w:val="false"/>
                <w:bCs w:val="false"/>
                <w:sz w:val="18"/>
                <w:szCs w:val="18"/>
              </w:rPr>
              <w:t xml:space="preserve">n/a (R² below threshold)</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b w:val="false"/>
                <w:bCs w:val="false"/>
                <w:sz w:val="18"/>
                <w:szCs w:val="18"/>
              </w:rPr>
              <w:t xml:space="preserve">n/a</w:t>
            </w:r>
          </w:p>
        </w:tc>
      </w:tr>
      <w:tr>
        <w:trPr>
          <w:tblHeader w:val="false"/>
        </w:trPr>
        <w:tc>
          <w:tcPr>
            <w:tcW w:type="dxa" w:w="3160"/>
            <w:tcBorders>
              <w:top w:val="single" w:color="BBBBBB" w:sz="4"/>
              <w:left w:val="single" w:color="BBBBBB" w:sz="4"/>
              <w:bottom w:val="single" w:color="BBBBBB" w:sz="4"/>
              <w:right w:val="single" w:color="BBBBBB" w:sz="4"/>
            </w:tcBorders>
            <w:shd w:fill="FFF3D6" w:val="clear"/>
            <w:tcMar>
              <w:top w:type="dxa" w:w="80"/>
              <w:left w:type="dxa" w:w="120"/>
              <w:bottom w:type="dxa" w:w="80"/>
              <w:right w:type="dxa" w:w="120"/>
            </w:tcMar>
          </w:tcPr>
          <w:p>
            <w:r>
              <w:rPr>
                <w:b/>
                <w:bCs/>
                <w:sz w:val="18"/>
                <w:szCs w:val="18"/>
              </w:rPr>
              <w:t xml:space="preserve">Sum of named ecoregions</w:t>
            </w:r>
          </w:p>
        </w:tc>
        <w:tc>
          <w:tcPr>
            <w:tcW w:type="dxa" w:w="1400"/>
            <w:tcBorders>
              <w:top w:val="single" w:color="BBBBBB" w:sz="4"/>
              <w:left w:val="single" w:color="BBBBBB" w:sz="4"/>
              <w:bottom w:val="single" w:color="BBBBBB" w:sz="4"/>
              <w:right w:val="single" w:color="BBBBBB" w:sz="4"/>
            </w:tcBorders>
            <w:shd w:fill="FFF3D6" w:val="clear"/>
            <w:tcMar>
              <w:top w:type="dxa" w:w="80"/>
              <w:left w:type="dxa" w:w="120"/>
              <w:bottom w:type="dxa" w:w="80"/>
              <w:right w:type="dxa" w:w="120"/>
            </w:tcMar>
          </w:tcPr>
          <w:p>
            <w:r>
              <w:rPr>
                <w:b/>
                <w:bCs/>
                <w:sz w:val="18"/>
                <w:szCs w:val="18"/>
              </w:rPr>
              <w:t xml:space="preserve">238</w:t>
            </w:r>
          </w:p>
        </w:tc>
        <w:tc>
          <w:tcPr>
            <w:tcW w:type="dxa" w:w="1500"/>
            <w:tcBorders>
              <w:top w:val="single" w:color="BBBBBB" w:sz="4"/>
              <w:left w:val="single" w:color="BBBBBB" w:sz="4"/>
              <w:bottom w:val="single" w:color="BBBBBB" w:sz="4"/>
              <w:right w:val="single" w:color="BBBBBB" w:sz="4"/>
            </w:tcBorders>
            <w:shd w:fill="FFF3D6" w:val="clear"/>
            <w:tcMar>
              <w:top w:type="dxa" w:w="80"/>
              <w:left w:type="dxa" w:w="120"/>
              <w:bottom w:type="dxa" w:w="80"/>
              <w:right w:type="dxa" w:w="120"/>
            </w:tcMar>
          </w:tcPr>
          <w:p>
            <w:r>
              <w:rPr>
                <w:b/>
                <w:bCs/>
                <w:sz w:val="18"/>
                <w:szCs w:val="18"/>
              </w:rPr>
              <w:t xml:space="preserve">64</w:t>
            </w:r>
          </w:p>
        </w:tc>
        <w:tc>
          <w:tcPr>
            <w:tcW w:type="dxa" w:w="1700"/>
            <w:tcBorders>
              <w:top w:val="single" w:color="BBBBBB" w:sz="4"/>
              <w:left w:val="single" w:color="BBBBBB" w:sz="4"/>
              <w:bottom w:val="single" w:color="BBBBBB" w:sz="4"/>
              <w:right w:val="single" w:color="BBBBBB" w:sz="4"/>
            </w:tcBorders>
            <w:shd w:fill="FFF3D6" w:val="clear"/>
            <w:tcMar>
              <w:top w:type="dxa" w:w="80"/>
              <w:left w:type="dxa" w:w="120"/>
              <w:bottom w:type="dxa" w:w="80"/>
              <w:right w:type="dxa" w:w="120"/>
            </w:tcMar>
          </w:tcPr>
          <w:p>
            <w:r>
              <w:rPr>
                <w:b/>
                <w:bCs/>
                <w:sz w:val="18"/>
                <w:szCs w:val="18"/>
              </w:rPr>
              <w:t xml:space="preserve">≥ 291</w:t>
            </w:r>
          </w:p>
        </w:tc>
        <w:tc>
          <w:tcPr>
            <w:tcW w:type="dxa" w:w="1600"/>
            <w:tcBorders>
              <w:top w:val="single" w:color="BBBBBB" w:sz="4"/>
              <w:left w:val="single" w:color="BBBBBB" w:sz="4"/>
              <w:bottom w:val="single" w:color="BBBBBB" w:sz="4"/>
              <w:right w:val="single" w:color="BBBBBB" w:sz="4"/>
            </w:tcBorders>
            <w:shd w:fill="FFF3D6" w:val="clear"/>
            <w:tcMar>
              <w:top w:type="dxa" w:w="80"/>
              <w:left w:type="dxa" w:w="120"/>
              <w:bottom w:type="dxa" w:w="80"/>
              <w:right w:type="dxa" w:w="120"/>
            </w:tcMar>
          </w:tcPr>
          <w:p>
            <w:r>
              <w:rPr>
                <w:b/>
                <w:bCs/>
                <w:sz w:val="18"/>
                <w:szCs w:val="18"/>
              </w:rPr>
              <w:t xml:space="preserve">≥ 48</w:t>
            </w:r>
          </w:p>
        </w:tc>
      </w:tr>
      <w:tr>
        <w:trPr>
          <w:tblHeader w:val="false"/>
        </w:trPr>
        <w:tc>
          <w:tcPr>
            <w:tcW w:type="dxa" w:w="3160"/>
            <w:tcBorders>
              <w:top w:val="single" w:color="BBBBBB" w:sz="4"/>
              <w:left w:val="single" w:color="BBBBBB" w:sz="4"/>
              <w:bottom w:val="single" w:color="BBBBBB" w:sz="4"/>
              <w:right w:val="single" w:color="BBBBBB" w:sz="4"/>
            </w:tcBorders>
            <w:shd w:fill="FFF3D6" w:val="clear"/>
            <w:tcMar>
              <w:top w:type="dxa" w:w="80"/>
              <w:left w:type="dxa" w:w="120"/>
              <w:bottom w:type="dxa" w:w="80"/>
              <w:right w:type="dxa" w:w="120"/>
            </w:tcMar>
          </w:tcPr>
          <w:p>
            <w:r>
              <w:rPr>
                <w:b/>
                <w:bCs/>
                <w:sz w:val="18"/>
                <w:szCs w:val="18"/>
              </w:rPr>
              <w:t xml:space="preserve">Statewide pooled (claimed)</w:t>
            </w:r>
          </w:p>
        </w:tc>
        <w:tc>
          <w:tcPr>
            <w:tcW w:type="dxa" w:w="1400"/>
            <w:tcBorders>
              <w:top w:val="single" w:color="BBBBBB" w:sz="4"/>
              <w:left w:val="single" w:color="BBBBBB" w:sz="4"/>
              <w:bottom w:val="single" w:color="BBBBBB" w:sz="4"/>
              <w:right w:val="single" w:color="BBBBBB" w:sz="4"/>
            </w:tcBorders>
            <w:shd w:fill="FFF3D6" w:val="clear"/>
            <w:tcMar>
              <w:top w:type="dxa" w:w="80"/>
              <w:left w:type="dxa" w:w="120"/>
              <w:bottom w:type="dxa" w:w="80"/>
              <w:right w:type="dxa" w:w="120"/>
            </w:tcMar>
          </w:tcPr>
          <w:p>
            <w:r>
              <w:rPr>
                <w:b/>
                <w:bCs/>
                <w:sz w:val="18"/>
                <w:szCs w:val="18"/>
              </w:rPr>
              <w:t xml:space="preserve">250</w:t>
            </w:r>
          </w:p>
        </w:tc>
        <w:tc>
          <w:tcPr>
            <w:tcW w:type="dxa" w:w="1500"/>
            <w:tcBorders>
              <w:top w:val="single" w:color="BBBBBB" w:sz="4"/>
              <w:left w:val="single" w:color="BBBBBB" w:sz="4"/>
              <w:bottom w:val="single" w:color="BBBBBB" w:sz="4"/>
              <w:right w:val="single" w:color="BBBBBB" w:sz="4"/>
            </w:tcBorders>
            <w:shd w:fill="FFF3D6" w:val="clear"/>
            <w:tcMar>
              <w:top w:type="dxa" w:w="80"/>
              <w:left w:type="dxa" w:w="120"/>
              <w:bottom w:type="dxa" w:w="80"/>
              <w:right w:type="dxa" w:w="120"/>
            </w:tcMar>
          </w:tcPr>
          <w:p>
            <w:r>
              <w:rPr>
                <w:b/>
                <w:bCs/>
                <w:sz w:val="18"/>
                <w:szCs w:val="18"/>
              </w:rPr>
              <w:t xml:space="preserve">82</w:t>
            </w:r>
          </w:p>
        </w:tc>
        <w:tc>
          <w:tcPr>
            <w:tcW w:type="dxa" w:w="1700"/>
            <w:tcBorders>
              <w:top w:val="single" w:color="BBBBBB" w:sz="4"/>
              <w:left w:val="single" w:color="BBBBBB" w:sz="4"/>
              <w:bottom w:val="single" w:color="BBBBBB" w:sz="4"/>
              <w:right w:val="single" w:color="BBBBBB" w:sz="4"/>
            </w:tcBorders>
            <w:shd w:fill="FFF3D6" w:val="clear"/>
            <w:tcMar>
              <w:top w:type="dxa" w:w="80"/>
              <w:left w:type="dxa" w:w="120"/>
              <w:bottom w:type="dxa" w:w="80"/>
              <w:right w:type="dxa" w:w="120"/>
            </w:tcMar>
          </w:tcPr>
          <w:p>
            <w:r>
              <w:rPr>
                <w:b/>
                <w:bCs/>
                <w:sz w:val="18"/>
                <w:szCs w:val="18"/>
              </w:rPr>
              <w:t xml:space="preserve">250</w:t>
            </w:r>
          </w:p>
        </w:tc>
        <w:tc>
          <w:tcPr>
            <w:tcW w:type="dxa" w:w="1600"/>
            <w:tcBorders>
              <w:top w:val="single" w:color="BBBBBB" w:sz="4"/>
              <w:left w:val="single" w:color="BBBBBB" w:sz="4"/>
              <w:bottom w:val="single" w:color="BBBBBB" w:sz="4"/>
              <w:right w:val="single" w:color="BBBBBB" w:sz="4"/>
            </w:tcBorders>
            <w:shd w:fill="FFF3D6" w:val="clear"/>
            <w:tcMar>
              <w:top w:type="dxa" w:w="80"/>
              <w:left w:type="dxa" w:w="120"/>
              <w:bottom w:type="dxa" w:w="80"/>
              <w:right w:type="dxa" w:w="120"/>
            </w:tcMar>
          </w:tcPr>
          <w:p>
            <w:r>
              <w:rPr>
                <w:b/>
                <w:bCs/>
                <w:sz w:val="18"/>
                <w:szCs w:val="18"/>
              </w:rPr>
              <w:t xml:space="preserve">82</w:t>
            </w:r>
          </w:p>
        </w:tc>
      </w:tr>
    </w:tbl>
    <w:p>
      <w:pPr>
        <w:spacing w:after="120"/>
      </w:pPr>
      <w:r>
        <w:rPr>
          <w:b/>
          <w:bCs/>
        </w:rPr>
        <w:t xml:space="preserve">The problem: </w:t>
      </w:r>
      <w:r>
        <w:t xml:space="preserve">Cross Timbers alone has 265 Secchi observations across 36 lakes, but the statewide pooled fit (which should be a superset that includes Cross Timbers plus every other Oklahoma ecoregion) reports only 250 obs across 82 lakes. A subset cannot have more elements than its superset. Either (a) the pooled n is wrong, (b) the Cross Timbers Secchi n is wrong, or (c) the two fits used different filtering rules, which would make calling one a "fallback" for the other misleading.</w:t>
      </w:r>
    </w:p>
    <w:p>
      <w:pPr>
        <w:spacing w:after="120"/>
      </w:pPr>
      <w:r>
        <w:rPr>
          <w:i w:val="false"/>
          <w:iCs w:val="false"/>
        </w:rPr>
        <w:t xml:space="preserve">The Chl-a numbers are also suspicious — only </w:t>
      </w:r>
      <w:r>
        <w:rPr>
          <w:i/>
          <w:iCs/>
        </w:rPr>
        <w:t xml:space="preserve">the named three ecoregions </w:t>
      </w:r>
      <w:r>
        <w:t xml:space="preserve">sum to 238 obs across 64 lakes, but "All others use statewide pooled" must include at least Ouachita Mountains, South Central Plains, Arkansas Valley, and Flint Hills (4+ ecoregions covering ~18 lakes). That accounting is plausible, just close to the edge.</w:t>
      </w:r>
    </w:p>
    <w:p>
      <w:pPr>
        <w:spacing w:after="120"/>
      </w:pPr>
      <w:r>
        <w:rPr>
          <w:b/>
          <w:bCs/>
        </w:rPr>
        <w:t xml:space="preserve">Fix: </w:t>
      </w:r>
      <w:r>
        <w:t xml:space="preserve">re-run the calibration with explicit logs of filter criteria and per-fit n_obs, n_lakes, n_obs_per_lake_min, and ensure the relationship between ecoregion fits and pooled fit is documented (e.g., "pooled fit uses the same filtering criteria across all ecoregions; rows-by-ecoregion-sums-to-pooled"). Add a test that asserts the per-ecoregion totals do not exceed the pooled total for the same parameter.</w:t>
      </w:r>
    </w:p>
    <w:p>
      <w:pPr>
        <w:pStyle w:val="Heading2"/>
        <w:spacing w:after="140" w:before="280"/>
      </w:pPr>
      <w:r>
        <w:t xml:space="preserve">5. Hard-coded OWRB infrastructure in default AWQMS config</w:t>
      </w:r>
    </w:p>
    <w:p>
      <w:pPr>
        <w:spacing w:after="120"/>
      </w:pPr>
      <w:r>
        <w:rPr>
          <w:b/>
          <w:bCs/>
          <w:color w:val="FFFFFF"/>
          <w:sz w:val="18"/>
          <w:szCs w:val="18"/>
          <w:shd w:fill="D35400" w:val="clear"/>
        </w:rPr>
        <w:t xml:space="preserve"> [MAJOR (CRAN policy / security)] </w:t>
      </w:r>
      <w:r>
        <w:rPr>
          <w:rFonts w:ascii="Courier New" w:cs="Courier New" w:eastAsia="Courier New" w:hAnsi="Courier New"/>
        </w:rPr>
        <w:t xml:space="preserve"> R/awqms.R .awqms_default_config()</w:t>
      </w:r>
    </w:p>
    <w:p>
      <w:pPr>
        <w:spacing w:after="120"/>
      </w:pPr>
      <w:r>
        <w:t xml:space="preserve">The function default for ok_from_awqms() reads:</w:t>
      </w:r>
    </w:p>
    <w:p>
      <w:pPr>
        <w:shd w:fill="F4F4F4" w:val="clear"/>
        <w:spacing w:after="80" w:before="80"/>
        <w:ind w:left="240"/>
      </w:pPr>
      <w:r>
        <w:rPr>
          <w:rFonts w:ascii="Courier New" w:cs="Courier New" w:eastAsia="Courier New" w:hAnsi="Courier New"/>
          <w:sz w:val="18"/>
          <w:szCs w:val="18"/>
        </w:rPr>
        <w:t xml:space="preserve">.awqms_default_config &lt;- function() {</w:t>
      </w:r>
      <w:r>
        <w:br/>
      </w:r>
      <w:r>
        <w:rPr>
          <w:rFonts w:ascii="Courier New" w:cs="Courier New" w:eastAsia="Courier New" w:hAnsi="Courier New"/>
          <w:sz w:val="18"/>
          <w:szCs w:val="18"/>
        </w:rPr>
        <w:t xml:space="preserve">  list(</w:t>
      </w:r>
      <w:r>
        <w:br/>
      </w:r>
      <w:r>
        <w:rPr>
          <w:rFonts w:ascii="Courier New" w:cs="Courier New" w:eastAsia="Courier New" w:hAnsi="Courier New"/>
          <w:sz w:val="18"/>
          <w:szCs w:val="18"/>
        </w:rPr>
        <w:t xml:space="preserve">    service        = "awqms_credentials",</w:t>
      </w:r>
      <w:r>
        <w:br/>
      </w:r>
      <w:r>
        <w:rPr>
          <w:rFonts w:ascii="Courier New" w:cs="Courier New" w:eastAsia="Courier New" w:hAnsi="Courier New"/>
          <w:sz w:val="18"/>
          <w:szCs w:val="18"/>
        </w:rPr>
        <w:t xml:space="preserve">    server         = "owrb.gselements.com",</w:t>
      </w:r>
      <w:r>
        <w:br/>
      </w:r>
      <w:r>
        <w:rPr>
          <w:rFonts w:ascii="Courier New" w:cs="Courier New" w:eastAsia="Courier New" w:hAnsi="Courier New"/>
          <w:sz w:val="18"/>
          <w:szCs w:val="18"/>
        </w:rPr>
        <w:t xml:space="preserve">    port           = 1433,</w:t>
      </w:r>
      <w:r>
        <w:br/>
      </w:r>
      <w:r>
        <w:rPr>
          <w:rFonts w:ascii="Courier New" w:cs="Courier New" w:eastAsia="Courier New" w:hAnsi="Courier New"/>
          <w:sz w:val="18"/>
          <w:szCs w:val="18"/>
        </w:rPr>
        <w:t xml:space="preserve">    database       = NULL,</w:t>
      </w:r>
      <w:r>
        <w:br/>
      </w:r>
      <w:r>
        <w:rPr>
          <w:rFonts w:ascii="Courier New" w:cs="Courier New" w:eastAsia="Courier New" w:hAnsi="Courier New"/>
          <w:sz w:val="18"/>
          <w:szCs w:val="18"/>
        </w:rPr>
        <w:t xml:space="preserve">    default_schema = "ext",</w:t>
      </w:r>
      <w:r>
        <w:br/>
      </w:r>
      <w:r>
        <w:rPr>
          <w:rFonts w:ascii="Courier New" w:cs="Courier New" w:eastAsia="Courier New" w:hAnsi="Courier New"/>
          <w:sz w:val="18"/>
          <w:szCs w:val="18"/>
        </w:rPr>
        <w:t xml:space="preserve">    driver         = "SQL Server",</w:t>
      </w:r>
      <w:r>
        <w:br/>
      </w:r>
      <w:r>
        <w:rPr>
          <w:rFonts w:ascii="Courier New" w:cs="Courier New" w:eastAsia="Courier New" w:hAnsi="Courier New"/>
          <w:sz w:val="18"/>
          <w:szCs w:val="18"/>
        </w:rPr>
        <w:t xml:space="preserve">    default_user   = "oklahomawrb"</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p>
    <w:p>
      <w:pPr>
        <w:spacing w:after="120"/>
      </w:pPr>
      <w:r>
        <w:rPr>
          <w:b/>
          <w:bCs/>
        </w:rPr>
        <w:t xml:space="preserve">Why this is a problem for a public CRAN package:</w:t>
      </w:r>
    </w:p>
    <w:p>
      <w:pPr>
        <w:pStyle w:val="ListParagraph"/>
        <w:numPr>
          <w:ilvl w:val="0"/>
          <w:numId w:val="2"/>
        </w:numPr>
        <w:spacing w:after="60"/>
      </w:pPr>
      <w:r>
        <w:t xml:space="preserve">(a) OWRB IT generally does not want internal SQL Server hostnames and service account usernames published to a public package repository.</w:t>
      </w:r>
    </w:p>
    <w:p>
      <w:pPr>
        <w:pStyle w:val="ListParagraph"/>
        <w:numPr>
          <w:ilvl w:val="0"/>
          <w:numId w:val="2"/>
        </w:numPr>
        <w:spacing w:after="60"/>
      </w:pPr>
      <w:r>
        <w:t xml:space="preserve">(b) No one outside OWRB can use these defaults; for everyone else they create an attractive nuisance — the help text walks the user through setting a keyring entry for a server they don't have credentials to.</w:t>
      </w:r>
    </w:p>
    <w:p>
      <w:pPr>
        <w:pStyle w:val="ListParagraph"/>
        <w:numPr>
          <w:ilvl w:val="0"/>
          <w:numId w:val="2"/>
        </w:numPr>
        <w:spacing w:after="60"/>
      </w:pPr>
      <w:r>
        <w:t xml:space="preserve">(c) CRAN reviewers will flag this as an inappropriate default. Acceptable approach: ship with NULL defaults plus a clearly-flagged Oklahoma-specific helper (or an example) showing the OWRB config — not as a function default.</w:t>
      </w:r>
    </w:p>
    <w:p>
      <w:pPr>
        <w:spacing w:after="120"/>
      </w:pPr>
      <w:r>
        <w:rPr>
          <w:b/>
          <w:bCs/>
        </w:rPr>
        <w:t xml:space="preserve">Fix: </w:t>
      </w:r>
      <w:r>
        <w:t xml:space="preserve">change </w:t>
      </w:r>
      <w:r>
        <w:rPr>
          <w:rFonts w:ascii="Courier New" w:cs="Courier New" w:eastAsia="Courier New" w:hAnsi="Courier New"/>
        </w:rPr>
        <w:t xml:space="preserve">.awqms_default_config()</w:t>
      </w:r>
      <w:r>
        <w:t xml:space="preserve"> to return a list with NULL or generic placeholder server/user, document the OWRB-specific config in a separate vignette example, and require the user to pass it in explicitly. Better yet, separate the AWQMS connector into its own internal/OWRB-only package and keep the public okBATHTUB package focused on the modeling pipeline.</w:t>
      </w:r>
    </w:p>
    <w:p>
      <w:pPr>
        <w:pStyle w:val="Heading2"/>
        <w:spacing w:after="140" w:before="280"/>
      </w:pPr>
      <w:r>
        <w:t xml:space="preserve">6. ok_project_path() hard-codes a personal Windows OneDrive path</w:t>
      </w:r>
    </w:p>
    <w:p>
      <w:pPr>
        <w:spacing w:after="120"/>
      </w:pPr>
      <w:r>
        <w:rPr>
          <w:b/>
          <w:bCs/>
          <w:color w:val="FFFFFF"/>
          <w:sz w:val="18"/>
          <w:szCs w:val="18"/>
          <w:shd w:fill="C0392B" w:val="clear"/>
        </w:rPr>
        <w:t xml:space="preserve"> [BLOCKER (CRAN policy)] </w:t>
      </w:r>
      <w:r>
        <w:rPr>
          <w:rFonts w:ascii="Courier New" w:cs="Courier New" w:eastAsia="Courier New" w:hAnsi="Courier New"/>
        </w:rPr>
        <w:t xml:space="preserve"> R/awqms.R lines 657-665</w:t>
      </w:r>
    </w:p>
    <w:p>
      <w:pPr>
        <w:spacing w:after="120"/>
      </w:pPr>
      <w:r>
        <w:t xml:space="preserve">This is exported and returns:</w:t>
      </w:r>
    </w:p>
    <w:p>
      <w:pPr>
        <w:shd w:fill="F4F4F4" w:val="clear"/>
        <w:spacing w:after="80" w:before="80"/>
        <w:ind w:left="240"/>
      </w:pPr>
      <w:r>
        <w:rPr>
          <w:rFonts w:ascii="Courier New" w:cs="Courier New" w:eastAsia="Courier New" w:hAnsi="Courier New"/>
          <w:sz w:val="18"/>
          <w:szCs w:val="18"/>
        </w:rPr>
        <w:t xml:space="preserve">ok_project_path &lt;- function() {</w:t>
      </w:r>
      <w:r>
        <w:br/>
      </w:r>
      <w:r>
        <w:rPr>
          <w:rFonts w:ascii="Courier New" w:cs="Courier New" w:eastAsia="Courier New" w:hAnsi="Courier New"/>
          <w:sz w:val="18"/>
          <w:szCs w:val="18"/>
        </w:rPr>
        <w:t xml:space="preserve">  file.path(</w:t>
      </w:r>
      <w:r>
        <w:br/>
      </w:r>
      <w:r>
        <w:rPr>
          <w:rFonts w:ascii="Courier New" w:cs="Courier New" w:eastAsia="Courier New" w:hAnsi="Courier New"/>
          <w:sz w:val="18"/>
          <w:szCs w:val="18"/>
        </w:rPr>
        <w:t xml:space="preserve">    Sys.getenv("USERPROFILE"),</w:t>
      </w:r>
      <w:r>
        <w:br/>
      </w:r>
      <w:r>
        <w:rPr>
          <w:rFonts w:ascii="Courier New" w:cs="Courier New" w:eastAsia="Courier New" w:hAnsi="Courier New"/>
          <w:sz w:val="18"/>
          <w:szCs w:val="18"/>
        </w:rPr>
        <w:t xml:space="preserve">    "OneDrive - State of Oklahoma",</w:t>
      </w:r>
      <w:r>
        <w:br/>
      </w:r>
      <w:r>
        <w:rPr>
          <w:rFonts w:ascii="Courier New" w:cs="Courier New" w:eastAsia="Courier New" w:hAnsi="Courier New"/>
          <w:sz w:val="18"/>
          <w:szCs w:val="18"/>
        </w:rPr>
        <w:t xml:space="preserve">    "Documents",</w:t>
      </w:r>
      <w:r>
        <w:br/>
      </w:r>
      <w:r>
        <w:rPr>
          <w:rFonts w:ascii="Courier New" w:cs="Courier New" w:eastAsia="Courier New" w:hAnsi="Courier New"/>
          <w:sz w:val="18"/>
          <w:szCs w:val="18"/>
        </w:rPr>
        <w:t xml:space="preserve">    "R code",</w:t>
      </w:r>
      <w:r>
        <w:br/>
      </w:r>
      <w:r>
        <w:rPr>
          <w:rFonts w:ascii="Courier New" w:cs="Courier New" w:eastAsia="Courier New" w:hAnsi="Courier New"/>
          <w:sz w:val="18"/>
          <w:szCs w:val="18"/>
        </w:rPr>
        <w:t xml:space="preserve">    "Bathtub"</w:t>
      </w:r>
      <w:r>
        <w:br/>
      </w:r>
      <w:r>
        <w:rPr>
          <w:rFonts w:ascii="Courier New" w:cs="Courier New" w:eastAsia="Courier New" w:hAnsi="Courier New"/>
          <w:sz w:val="18"/>
          <w:szCs w:val="18"/>
        </w:rPr>
        <w:t xml:space="preserve">  )</w:t>
      </w:r>
      <w:r>
        <w:br/>
      </w:r>
      <w:r>
        <w:rPr>
          <w:rFonts w:ascii="Courier New" w:cs="Courier New" w:eastAsia="Courier New" w:hAnsi="Courier New"/>
          <w:sz w:val="18"/>
          <w:szCs w:val="18"/>
        </w:rPr>
        <w:t xml:space="preserve">}</w:t>
      </w:r>
    </w:p>
    <w:p>
      <w:pPr>
        <w:spacing w:after="120"/>
      </w:pPr>
      <w:r>
        <w:t xml:space="preserve">On Linux and macOS, </w:t>
      </w:r>
      <w:r>
        <w:rPr>
          <w:rFonts w:ascii="Courier New" w:cs="Courier New" w:eastAsia="Courier New" w:hAnsi="Courier New"/>
        </w:rPr>
        <w:t xml:space="preserve">Sys.getenv("USERPROFILE")</w:t>
      </w:r>
      <w:r>
        <w:t xml:space="preserve"> returns "" (empty string), so the function returns </w:t>
      </w:r>
      <w:r>
        <w:rPr>
          <w:rFonts w:ascii="Courier New" w:cs="Courier New" w:eastAsia="Courier New" w:hAnsi="Courier New"/>
        </w:rPr>
        <w:t xml:space="preserve">"/OneDrive - State of Oklahoma/Documents/R code/Bathtub"</w:t>
      </w:r>
      <w:r>
        <w:t xml:space="preserve"> — a meaningless path. CRAN tests on Linux/Solaris/macOS-arm64 will see this; reviewers will see this. The companion function </w:t>
      </w:r>
      <w:r>
        <w:rPr>
          <w:rFonts w:ascii="Courier New" w:cs="Courier New" w:eastAsia="Courier New" w:hAnsi="Courier New"/>
        </w:rPr>
        <w:t xml:space="preserve">ok_path(...)</w:t>
      </w:r>
      <w:r>
        <w:t xml:space="preserve"> builds on top of it and shares the same defect. Both are exported and visible from </w:t>
      </w:r>
      <w:r>
        <w:rPr>
          <w:rFonts w:ascii="Courier New" w:cs="Courier New" w:eastAsia="Courier New" w:hAnsi="Courier New"/>
        </w:rPr>
        <w:t xml:space="preserve">?ok_path</w:t>
      </w:r>
      <w:r>
        <w:t xml:space="preserve">.</w:t>
      </w:r>
    </w:p>
    <w:p>
      <w:pPr>
        <w:spacing w:after="120"/>
      </w:pPr>
      <w:r>
        <w:rPr>
          <w:b/>
          <w:bCs/>
        </w:rPr>
        <w:t xml:space="preserve">Fix: </w:t>
      </w:r>
      <w:r>
        <w:t xml:space="preserve">remove both functions from the exports and from </w:t>
      </w:r>
      <w:r>
        <w:rPr>
          <w:rFonts w:ascii="Courier New" w:cs="Courier New" w:eastAsia="Courier New" w:hAnsi="Courier New"/>
        </w:rPr>
        <w:t xml:space="preserve">NAMESPACE</w:t>
      </w:r>
      <w:r>
        <w:t xml:space="preserve">. They are personal-workflow shims that have no business in a published package. If the AWQMS pipeline needs a project path argument, accept it as a parameter, default to </w:t>
      </w:r>
      <w:r>
        <w:rPr>
          <w:rFonts w:ascii="Courier New" w:cs="Courier New" w:eastAsia="Courier New" w:hAnsi="Courier New"/>
        </w:rPr>
        <w:t xml:space="preserve">tempdir()</w:t>
      </w:r>
      <w:r>
        <w:t xml:space="preserve"> or </w:t>
      </w:r>
      <w:r>
        <w:rPr>
          <w:rFonts w:ascii="Courier New" w:cs="Courier New" w:eastAsia="Courier New" w:hAnsi="Courier New"/>
        </w:rPr>
        <w:t xml:space="preserve">getwd()</w:t>
      </w:r>
      <w:r>
        <w:t xml:space="preserve">, and let users pass in their own directory.</w:t>
      </w:r>
    </w:p>
    <w:p>
      <w:pPr>
        <w:pStyle w:val="Heading2"/>
        <w:spacing w:after="140" w:before="280"/>
      </w:pPr>
      <w:r>
        <w:t xml:space="preserve">7. Authorship / copyright / employer relationship is internally inconsistent</w:t>
      </w:r>
    </w:p>
    <w:p>
      <w:pPr>
        <w:spacing w:after="120"/>
      </w:pPr>
      <w:r>
        <w:rPr>
          <w:b/>
          <w:bCs/>
          <w:color w:val="FFFFFF"/>
          <w:sz w:val="18"/>
          <w:szCs w:val="18"/>
          <w:shd w:fill="D35400" w:val="clear"/>
        </w:rPr>
        <w:t xml:space="preserve"> [MAJOR (legal / ethics)] </w:t>
      </w:r>
      <w:r>
        <w:rPr>
          <w:rFonts w:ascii="Courier New" w:cs="Courier New" w:eastAsia="Courier New" w:hAnsi="Courier New"/>
        </w:rPr>
        <w:t xml:space="preserve"> README, DESCRIPTION, LICENSE, plot.R</w:t>
      </w:r>
    </w:p>
    <w:p>
      <w:pPr>
        <w:spacing w:after="120"/>
      </w:pPr>
      <w:r>
        <w:t xml:space="preserve">The package gives four different and conflicting signals about whether this is personal or work-product:</w:t>
      </w:r>
    </w:p>
    <w:p>
      <w:pPr>
        <w:pStyle w:val="ListParagraph"/>
        <w:numPr>
          <w:ilvl w:val="0"/>
          <w:numId w:val="2"/>
        </w:numPr>
        <w:spacing w:after="60"/>
      </w:pPr>
      <w:r>
        <w:rPr>
          <w:b/>
          <w:bCs/>
        </w:rPr>
        <w:t xml:space="preserve">README </w:t>
      </w:r>
      <w:r>
        <w:t xml:space="preserve">says: "okBATHTUB is an independent open-source contribution to the water quality modeling community, developed by Jordon Henderson in a personal capacity."</w:t>
      </w:r>
    </w:p>
    <w:p>
      <w:pPr>
        <w:pStyle w:val="ListParagraph"/>
        <w:numPr>
          <w:ilvl w:val="0"/>
          <w:numId w:val="2"/>
        </w:numPr>
        <w:spacing w:after="60"/>
      </w:pPr>
      <w:r>
        <w:rPr>
          <w:b/>
          <w:bCs/>
        </w:rPr>
        <w:t xml:space="preserve">DESCRIPTION </w:t>
      </w:r>
      <w:r>
        <w:t xml:space="preserve">Authors@R lists "Oklahoma Water Resources Board" with </w:t>
      </w:r>
      <w:r>
        <w:rPr>
          <w:rFonts w:ascii="Courier New" w:cs="Courier New" w:eastAsia="Courier New" w:hAnsi="Courier New"/>
        </w:rPr>
        <w:t xml:space="preserve">role = "cph"</w:t>
      </w:r>
      <w:r>
        <w:t xml:space="preserve"> (copyright holder).</w:t>
      </w:r>
    </w:p>
    <w:p>
      <w:pPr>
        <w:pStyle w:val="ListParagraph"/>
        <w:numPr>
          <w:ilvl w:val="0"/>
          <w:numId w:val="2"/>
        </w:numPr>
        <w:spacing w:after="60"/>
      </w:pPr>
      <w:r>
        <w:rPr>
          <w:b/>
          <w:bCs/>
        </w:rPr>
        <w:t xml:space="preserve">LICENSE / LICENSE.md </w:t>
      </w:r>
      <w:r>
        <w:t xml:space="preserve">name both "Jordon Henderson, Oklahoma Water Resources Board" as copyright holders.</w:t>
      </w:r>
    </w:p>
    <w:p>
      <w:pPr>
        <w:pStyle w:val="ListParagraph"/>
        <w:numPr>
          <w:ilvl w:val="0"/>
          <w:numId w:val="2"/>
        </w:numPr>
        <w:spacing w:after="60"/>
      </w:pPr>
      <w:r>
        <w:rPr>
          <w:b/>
          <w:bCs/>
        </w:rPr>
        <w:t xml:space="preserve">Plots </w:t>
      </w:r>
      <w:r>
        <w:t xml:space="preserve">embed the caption "okBATHTUB | OWRB Water Quality Division" on every figure produced by ok_plot_response(), ok_plot_scenario(), ok_plot_segments(), and ok_plot_tsi().</w:t>
      </w:r>
    </w:p>
    <w:p>
      <w:pPr>
        <w:pStyle w:val="ListParagraph"/>
        <w:numPr>
          <w:ilvl w:val="0"/>
          <w:numId w:val="2"/>
        </w:numPr>
        <w:spacing w:after="60"/>
      </w:pPr>
      <w:r>
        <w:rPr>
          <w:b/>
          <w:bCs/>
        </w:rPr>
        <w:t xml:space="preserve">Author email </w:t>
      </w:r>
      <w:r>
        <w:t xml:space="preserve">is </w:t>
      </w:r>
      <w:r>
        <w:rPr>
          <w:rFonts w:ascii="Courier New" w:cs="Courier New" w:eastAsia="Courier New" w:hAnsi="Courier New"/>
        </w:rPr>
        <w:t xml:space="preserve">jordon.henderson@owrb.ok.gov</w:t>
      </w:r>
      <w:r>
        <w:t xml:space="preserve"> — Jordon's work address.</w:t>
      </w:r>
    </w:p>
    <w:p>
      <w:pPr>
        <w:spacing w:after="120"/>
      </w:pPr>
      <w:r>
        <w:t xml:space="preserve">These cannot all be true at once. Either this is OWRB work-product (in which case the README's "personal capacity" claim is wrong and OWRB owns or co-owns it, and OWRB's procedures around external publication of state-funded code apply), or it is genuinely personal (in which case OWRB should not appear as a copyright holder, the work email should be replaced with a personal address, and the plot captions should be neutral). The </w:t>
      </w:r>
      <w:r>
        <w:rPr>
          <w:i/>
          <w:iCs/>
        </w:rPr>
        <w:t xml:space="preserve">userMemories </w:t>
      </w:r>
      <w:r>
        <w:t xml:space="preserve">context already flagged that earlier related work "required written agency approval before any commercial use" — that same scrutiny almost certainly applies here.</w:t>
      </w:r>
    </w:p>
    <w:p>
      <w:pPr>
        <w:spacing w:after="120"/>
      </w:pPr>
      <w:r>
        <w:rPr>
          <w:b/>
          <w:bCs/>
        </w:rPr>
        <w:t xml:space="preserve">Fix: </w:t>
      </w:r>
      <w:r>
        <w:t xml:space="preserve">get the relationship clarified in writing with the OWRB chain of command before the package goes any further. Concretely, the package needs one of these two arrangements:</w:t>
      </w:r>
    </w:p>
    <w:p>
      <w:pPr>
        <w:pStyle w:val="ListParagraph"/>
        <w:numPr>
          <w:ilvl w:val="0"/>
          <w:numId w:val="2"/>
        </w:numPr>
        <w:spacing w:after="60"/>
      </w:pPr>
      <w:r>
        <w:rPr>
          <w:b/>
          <w:bCs/>
        </w:rPr>
        <w:t xml:space="preserve">Option A — personal: </w:t>
      </w:r>
      <w:r>
        <w:t xml:space="preserve">remove OWRB from DESCRIPTION cph and from LICENSE; remove "OWRB Water Quality Division" from plot captions; use a personal email; document in README that this is the author's individual work and not endorsed by or representative of OWRB.</w:t>
      </w:r>
    </w:p>
    <w:p>
      <w:pPr>
        <w:pStyle w:val="ListParagraph"/>
        <w:numPr>
          <w:ilvl w:val="0"/>
          <w:numId w:val="2"/>
        </w:numPr>
        <w:spacing w:after="60"/>
      </w:pPr>
      <w:r>
        <w:rPr>
          <w:b/>
          <w:bCs/>
        </w:rPr>
        <w:t xml:space="preserve">Option B — agency: </w:t>
      </w:r>
      <w:r>
        <w:t xml:space="preserve">keep OWRB as cph, remove the "personal capacity" claim from the README, obtain written agency authorization to distribute under MIT, and ideally add an OWRB co-author or institutional author entry to Authors@R.</w:t>
      </w:r>
    </w:p>
    <w:p>
      <w:pPr>
        <w:pStyle w:val="Heading2"/>
        <w:spacing w:after="140" w:before="280"/>
      </w:pPr>
      <w:r>
        <w:t xml:space="preserve">8. ok_load_multi() drops the ecoregion argument</w:t>
      </w:r>
    </w:p>
    <w:p>
      <w:pPr>
        <w:spacing w:after="120"/>
      </w:pPr>
      <w:r>
        <w:rPr>
          <w:b/>
          <w:bCs/>
          <w:color w:val="FFFFFF"/>
          <w:sz w:val="18"/>
          <w:szCs w:val="18"/>
          <w:shd w:fill="C9961A" w:val="clear"/>
        </w:rPr>
        <w:t xml:space="preserve"> [MODERATE (bug)] </w:t>
      </w:r>
      <w:r>
        <w:rPr>
          <w:rFonts w:ascii="Courier New" w:cs="Courier New" w:eastAsia="Courier New" w:hAnsi="Courier New"/>
        </w:rPr>
        <w:t xml:space="preserve"> R/load_inputs.R line 157</w:t>
      </w:r>
    </w:p>
    <w:p>
      <w:pPr>
        <w:spacing w:after="120"/>
      </w:pPr>
      <w:r>
        <w:rPr>
          <w:rFonts w:ascii="Courier New" w:cs="Courier New" w:eastAsia="Courier New" w:hAnsi="Courier New"/>
        </w:rPr>
        <w:t xml:space="preserve">ok_load_multi()</w:t>
      </w:r>
      <w:r>
        <w:t xml:space="preserve"> accepts only </w:t>
      </w:r>
      <w:r>
        <w:rPr>
          <w:rFonts w:ascii="Courier New" w:cs="Courier New" w:eastAsia="Courier New" w:hAnsi="Courier New"/>
        </w:rPr>
        <w:t xml:space="preserve">tributaries, segment_label, coefficients</w:t>
      </w:r>
      <w:r>
        <w:t xml:space="preserve"> — no </w:t>
      </w:r>
      <w:r>
        <w:rPr>
          <w:rFonts w:ascii="Courier New" w:cs="Courier New" w:eastAsia="Courier New" w:hAnsi="Courier New"/>
        </w:rPr>
        <w:t xml:space="preserve">ecoregion</w:t>
      </w:r>
      <w:r>
        <w:t xml:space="preserve"> parameter. When it then calls </w:t>
      </w:r>
      <w:r>
        <w:rPr>
          <w:rFonts w:ascii="Courier New" w:cs="Courier New" w:eastAsia="Courier New" w:hAnsi="Courier New"/>
        </w:rPr>
        <w:t xml:space="preserve">ok_load(...)</w:t>
      </w:r>
      <w:r>
        <w:t xml:space="preserve"> internally, ecoregion defaults to NULL, so any user running multi-tributary scenarios with </w:t>
      </w:r>
      <w:r>
        <w:rPr>
          <w:rFonts w:ascii="Courier New" w:cs="Courier New" w:eastAsia="Courier New" w:hAnsi="Courier New"/>
        </w:rPr>
        <w:t xml:space="preserve">coefficients = "oklahoma"</w:t>
      </w:r>
      <w:r>
        <w:t xml:space="preserve"> silently falls back to the statewide pooled coefficients, even if their reservoir is in Cross Timbers and they have ecoregion-specific Chl-a data available. The user gets no warning.</w:t>
      </w:r>
    </w:p>
    <w:p>
      <w:pPr>
        <w:spacing w:after="120"/>
      </w:pPr>
      <w:r>
        <w:rPr>
          <w:b/>
          <w:bCs/>
        </w:rPr>
        <w:t xml:space="preserve">Fix: </w:t>
      </w:r>
      <w:r>
        <w:t xml:space="preserve">add </w:t>
      </w:r>
      <w:r>
        <w:rPr>
          <w:rFonts w:ascii="Courier New" w:cs="Courier New" w:eastAsia="Courier New" w:hAnsi="Courier New"/>
        </w:rPr>
        <w:t xml:space="preserve">ecoregion = NULL</w:t>
      </w:r>
      <w:r>
        <w:t xml:space="preserve"> to the </w:t>
      </w:r>
      <w:r>
        <w:rPr>
          <w:rFonts w:ascii="Courier New" w:cs="Courier New" w:eastAsia="Courier New" w:hAnsi="Courier New"/>
        </w:rPr>
        <w:t xml:space="preserve">ok_load_multi()</w:t>
      </w:r>
      <w:r>
        <w:t xml:space="preserve"> signature and pass it through to </w:t>
      </w:r>
      <w:r>
        <w:rPr>
          <w:rFonts w:ascii="Courier New" w:cs="Courier New" w:eastAsia="Courier New" w:hAnsi="Courier New"/>
        </w:rPr>
        <w:t xml:space="preserve">ok_load()</w:t>
      </w:r>
      <w:r>
        <w:t xml:space="preserve">. Add a test covering this path.</w:t>
      </w:r>
    </w:p>
    <w:p>
      <w:pPr>
        <w:pStyle w:val="Heading2"/>
        <w:spacing w:after="140" w:before="280"/>
      </w:pPr>
      <w:r>
        <w:t xml:space="preserve">9. ok_segment_chain() ecoregion propagation</w:t>
      </w:r>
    </w:p>
    <w:p>
      <w:pPr>
        <w:spacing w:after="120"/>
      </w:pPr>
      <w:r>
        <w:rPr>
          <w:b/>
          <w:bCs/>
          <w:color w:val="FFFFFF"/>
          <w:sz w:val="18"/>
          <w:szCs w:val="18"/>
          <w:shd w:fill="C9961A" w:val="clear"/>
        </w:rPr>
        <w:t xml:space="preserve"> [MODERATE (bug)] </w:t>
      </w:r>
      <w:r>
        <w:rPr>
          <w:rFonts w:ascii="Courier New" w:cs="Courier New" w:eastAsia="Courier New" w:hAnsi="Courier New"/>
        </w:rPr>
        <w:t xml:space="preserve"> R/segments.R</w:t>
      </w:r>
    </w:p>
    <w:p>
      <w:pPr>
        <w:spacing w:after="120"/>
      </w:pPr>
      <w:r>
        <w:rPr>
          <w:rFonts w:ascii="Courier New" w:cs="Courier New" w:eastAsia="Courier New" w:hAnsi="Courier New"/>
        </w:rPr>
        <w:t xml:space="preserve">ok_segment_chain()</w:t>
      </w:r>
      <w:r>
        <w:t xml:space="preserve"> passes ecoregion to the first segment's </w:t>
      </w:r>
      <w:r>
        <w:rPr>
          <w:rFonts w:ascii="Courier New" w:cs="Courier New" w:eastAsia="Courier New" w:hAnsi="Courier New"/>
        </w:rPr>
        <w:t xml:space="preserve">ok_load()</w:t>
      </w:r>
      <w:r>
        <w:t xml:space="preserve">, and </w:t>
      </w:r>
      <w:r>
        <w:rPr>
          <w:rFonts w:ascii="Courier New" w:cs="Courier New" w:eastAsia="Courier New" w:hAnsi="Courier New"/>
        </w:rPr>
        <w:t xml:space="preserve">ok_segment()</w:t>
      </w:r>
      <w:r>
        <w:t xml:space="preserve"> inherits the ecoregion from upstream meta. That sounds fine, but consider the case where the user supplies an unknown ecoregion: </w:t>
      </w:r>
    </w:p>
    <w:p>
      <w:pPr>
        <w:pStyle w:val="ListParagraph"/>
        <w:numPr>
          <w:ilvl w:val="0"/>
          <w:numId w:val="2"/>
        </w:numPr>
        <w:spacing w:after="60"/>
      </w:pPr>
      <w:r>
        <w:t xml:space="preserve">The first ok_load() resolves ecoregion to NULL silently and falls back to statewide pooled (with a message).</w:t>
      </w:r>
    </w:p>
    <w:p>
      <w:pPr>
        <w:pStyle w:val="ListParagraph"/>
        <w:numPr>
          <w:ilvl w:val="0"/>
          <w:numId w:val="2"/>
        </w:numPr>
        <w:spacing w:after="60"/>
      </w:pPr>
      <w:r>
        <w:t xml:space="preserve">upstream$meta$ecoregion is still the original (unknown) ecoregion string.</w:t>
      </w:r>
    </w:p>
    <w:p>
      <w:pPr>
        <w:pStyle w:val="ListParagraph"/>
        <w:numPr>
          <w:ilvl w:val="0"/>
          <w:numId w:val="2"/>
        </w:numPr>
        <w:spacing w:after="60"/>
      </w:pPr>
      <w:r>
        <w:t xml:space="preserve">The next segment's ok_load() inherits that same unknown string and again issues the same fallback message.</w:t>
      </w:r>
    </w:p>
    <w:p>
      <w:pPr>
        <w:spacing w:after="120"/>
      </w:pPr>
      <w:r>
        <w:t xml:space="preserve">So the user sees the warning N times for an N-segment chain. Cosmetic but noisy. More importantly, if the user thinks the first message is a typo warning they may not notice that all subsequent segments are also falling back. Consider emitting the fallback message exactly once per pipeline run, or letting ok_segment() short-circuit the message after the first occurrence.</w:t>
      </w:r>
    </w:p>
    <w:p>
      <w:pPr>
        <w:pStyle w:val="Heading2"/>
        <w:spacing w:after="140" w:before="280"/>
      </w:pPr>
      <w:r>
        <w:t xml:space="preserve">10. Tests are internal-consistency only</w:t>
      </w:r>
    </w:p>
    <w:p>
      <w:pPr>
        <w:spacing w:after="120"/>
      </w:pPr>
      <w:r>
        <w:rPr>
          <w:b/>
          <w:bCs/>
          <w:color w:val="FFFFFF"/>
          <w:sz w:val="18"/>
          <w:szCs w:val="18"/>
          <w:shd w:fill="C9961A" w:val="clear"/>
        </w:rPr>
        <w:t xml:space="preserve"> [MODERATE (rigor)] </w:t>
      </w:r>
      <w:r>
        <w:rPr>
          <w:rFonts w:ascii="Courier New" w:cs="Courier New" w:eastAsia="Courier New" w:hAnsi="Courier New"/>
        </w:rPr>
        <w:t xml:space="preserve"> tests/testthat/*</w:t>
      </w:r>
    </w:p>
    <w:p>
      <w:pPr>
        <w:spacing w:after="120"/>
      </w:pPr>
      <w:r>
        <w:t xml:space="preserve">The 6 test files cover the S3 class machinery, pipeline order enforcement, and arithmetic identity (e.g., that ok_inlake() computes tp_in × (1 − R) given that retention came out to R). All necessary, none sufficient. There are no tests that:</w:t>
      </w:r>
    </w:p>
    <w:p>
      <w:pPr>
        <w:pStyle w:val="ListParagraph"/>
        <w:numPr>
          <w:ilvl w:val="0"/>
          <w:numId w:val="2"/>
        </w:numPr>
        <w:spacing w:after="60"/>
      </w:pPr>
      <w:r>
        <w:t xml:space="preserve">Compare predicted in-lake TP for a known reservoir to observed values from AWQMS or LMP.</w:t>
      </w:r>
    </w:p>
    <w:p>
      <w:pPr>
        <w:pStyle w:val="ListParagraph"/>
        <w:numPr>
          <w:ilvl w:val="0"/>
          <w:numId w:val="2"/>
        </w:numPr>
        <w:spacing w:after="60"/>
      </w:pPr>
      <w:r>
        <w:t xml:space="preserve">Reproduce a published BATHTUB calculation as a regression check.</w:t>
      </w:r>
    </w:p>
    <w:p>
      <w:pPr>
        <w:pStyle w:val="ListParagraph"/>
        <w:numPr>
          <w:ilvl w:val="0"/>
          <w:numId w:val="2"/>
        </w:numPr>
        <w:spacing w:after="60"/>
      </w:pPr>
      <w:r>
        <w:t xml:space="preserve">Exercise the AWQMS pipeline against canned/synthetic SQL output (no DB needed — use a fake result frame).</w:t>
      </w:r>
    </w:p>
    <w:p>
      <w:pPr>
        <w:pStyle w:val="ListParagraph"/>
        <w:numPr>
          <w:ilvl w:val="0"/>
          <w:numId w:val="2"/>
        </w:numPr>
        <w:spacing w:after="60"/>
      </w:pPr>
      <w:r>
        <w:t xml:space="preserve">Catch the ok_load_multi() ecoregion bug above.</w:t>
      </w:r>
    </w:p>
    <w:p>
      <w:pPr>
        <w:pStyle w:val="ListParagraph"/>
        <w:numPr>
          <w:ilvl w:val="0"/>
          <w:numId w:val="2"/>
        </w:numPr>
        <w:spacing w:after="60"/>
      </w:pPr>
      <w:r>
        <w:t xml:space="preserve">Validate that the ok_reservoirs dataset is non-empty (an obvious one in hindsight).</w:t>
      </w:r>
    </w:p>
    <w:p>
      <w:pPr>
        <w:spacing w:after="120"/>
      </w:pPr>
      <w:r>
        <w:rPr>
          <w:b/>
          <w:bCs/>
        </w:rPr>
        <w:t xml:space="preserve">Fix: </w:t>
      </w:r>
      <w:r>
        <w:t xml:space="preserve">for the CRAN-resubmission cycle, add a small `helper-fixtures.R` in tests/testthat/ that provides a synthetic AWQMS data frame and one or two reference reservoirs with known predictions. Test the full pipeline against those references rather than against self-consistency alone.</w:t>
      </w:r>
    </w:p>
    <w:p>
      <w:pPr>
        <w:pStyle w:val="Heading2"/>
        <w:spacing w:after="140" w:before="280"/>
      </w:pPr>
      <w:r>
        <w:t xml:space="preserve">11. Roxygen / NAMESPACE bookkeeping</w:t>
      </w:r>
    </w:p>
    <w:p>
      <w:pPr>
        <w:spacing w:after="120"/>
      </w:pPr>
      <w:r>
        <w:rPr>
          <w:b/>
          <w:bCs/>
          <w:color w:val="FFFFFF"/>
          <w:sz w:val="18"/>
          <w:szCs w:val="18"/>
          <w:shd w:fill="27AE60" w:val="clear"/>
        </w:rPr>
        <w:t xml:space="preserve"> [MINOR (style)] </w:t>
      </w:r>
      <w:r>
        <w:rPr>
          <w:rFonts w:ascii="Courier New" w:cs="Courier New" w:eastAsia="Courier New" w:hAnsi="Courier New"/>
        </w:rPr>
        <w:t xml:space="preserve"> DESCRIPTION</w:t>
      </w:r>
    </w:p>
    <w:p>
      <w:pPr>
        <w:pStyle w:val="ListParagraph"/>
        <w:numPr>
          <w:ilvl w:val="0"/>
          <w:numId w:val="2"/>
        </w:numPr>
        <w:spacing w:after="60"/>
      </w:pPr>
      <w:r/>
    </w:p>
    <w:p>
      <w:pPr>
        <w:pStyle w:val="ListParagraph"/>
        <w:numPr>
          <w:ilvl w:val="0"/>
          <w:numId w:val="2"/>
        </w:numPr>
        <w:spacing w:after="60"/>
      </w:pPr>
      <w:r/>
    </w:p>
    <w:p>
      <w:pPr>
        <w:pStyle w:val="ListParagraph"/>
        <w:numPr>
          <w:ilvl w:val="0"/>
          <w:numId w:val="2"/>
        </w:numPr>
        <w:spacing w:after="60"/>
      </w:pPr>
      <w:r/>
    </w:p>
    <w:p>
      <w:pPr>
        <w:pStyle w:val="Heading2"/>
        <w:spacing w:after="140" w:before="280"/>
      </w:pPr>
      <w:r>
        <w:t xml:space="preserve">12. Walker citation density vs. fidelity</w:t>
      </w:r>
    </w:p>
    <w:p>
      <w:pPr>
        <w:spacing w:after="120"/>
      </w:pPr>
      <w:r>
        <w:rPr>
          <w:b/>
          <w:bCs/>
          <w:color w:val="FFFFFF"/>
          <w:sz w:val="18"/>
          <w:szCs w:val="18"/>
          <w:shd w:fill="D35400" w:val="clear"/>
        </w:rPr>
        <w:t xml:space="preserve"> [MAJOR (citation)] </w:t>
      </w:r>
      <w:r>
        <w:rPr>
          <w:rFonts w:ascii="Courier New" w:cs="Courier New" w:eastAsia="Courier New" w:hAnsi="Courier New"/>
        </w:rPr>
        <w:t xml:space="preserve"> throughout</w:t>
      </w:r>
    </w:p>
    <w:p>
      <w:pPr>
        <w:spacing w:after="120"/>
      </w:pPr>
      <w:r>
        <w:t xml:space="preserve">Walker (1996) is cited 12+ times across DESCRIPTION, README, vignettes, function docs, and source comments. The actual implemented model is not Walker's BATHTUB default — it is Larsen-Mercier × Vollenweider × a fixed-velocity TN settlement model × Carlson TSI. None of those have anything to do with Walker (1985, 1996) other than appearing as alternative options in BATHTUB. The package is much closer to a Vollenweider/Carlson hybrid than a BATHTUB implementation. This is partly Finding 2 again but the citation pattern itself is worth flagging: a CRAN reviewer or a peer-review-grade scientific reader will compare claims to citations, and the gap is large.</w:t>
      </w:r>
    </w:p>
    <w:p>
      <w:pPr>
        <w:spacing w:after="120"/>
      </w:pPr>
      <w:r>
        <w:rPr>
          <w:b/>
          <w:bCs/>
        </w:rPr>
        <w:t xml:space="preserve">Fix: </w:t>
      </w:r>
      <w:r>
        <w:t xml:space="preserve">rewrite the README/DESCRIPTION to say something like "empirical reservoir eutrophication modeling using Vollenweider-Larsen-Mercier hydraulic-residence retention, Carlson (1977) trophic state indices, and Oklahoma-specific empirical chlorophyll and Secchi regressions; structured to complement the Walker (1996) BATHTUB framework." That's honest, accurate, and removes the implicit (and incorrect) claim that this is a BATHTUB port.</w:t>
      </w:r>
    </w:p>
    <w:p>
      <w:pPr>
        <w:pStyle w:val="Heading2"/>
        <w:spacing w:after="140" w:before="280"/>
      </w:pPr>
      <w:r>
        <w:t xml:space="preserve">13. Silent ignore of ecoregion when coefficients = "walker"</w:t>
      </w:r>
    </w:p>
    <w:p>
      <w:pPr>
        <w:spacing w:after="120"/>
      </w:pPr>
      <w:r>
        <w:rPr>
          <w:b/>
          <w:bCs/>
          <w:color w:val="FFFFFF"/>
          <w:sz w:val="18"/>
          <w:szCs w:val="18"/>
          <w:shd w:fill="27AE60" w:val="clear"/>
        </w:rPr>
        <w:t xml:space="preserve"> [MINOR (UX)] </w:t>
      </w:r>
      <w:r>
        <w:rPr>
          <w:rFonts w:ascii="Courier New" w:cs="Courier New" w:eastAsia="Courier New" w:hAnsi="Courier New"/>
        </w:rPr>
        <w:t xml:space="preserve"> R/load_inputs.R</w:t>
      </w:r>
    </w:p>
    <w:p>
      <w:pPr>
        <w:spacing w:after="120"/>
      </w:pPr>
      <w:r>
        <w:rPr>
          <w:rFonts w:ascii="Courier New" w:cs="Courier New" w:eastAsia="Courier New" w:hAnsi="Courier New"/>
        </w:rPr>
        <w:t xml:space="preserve">ok_load(..., coefficients = "walker", ecoregion = "Cross Timbers")</w:t>
      </w:r>
      <w:r>
        <w:t xml:space="preserve"> silently ignores the ecoregion argument because Walker coefficients are not region-specific. Either (a) emit a message when ecoregion is supplied alongside non-Oklahoma coefficients, or (b) reject the combination with an informative error. Either is better than silent ignore.</w:t>
      </w:r>
    </w:p>
    <w:p>
      <w:pPr>
        <w:pStyle w:val="Heading2"/>
        <w:spacing w:after="140" w:before="280"/>
      </w:pPr>
      <w:r>
        <w:t xml:space="preserve">14. Reservoir volume approximation &amp; data-quality codes</w:t>
      </w:r>
    </w:p>
    <w:p>
      <w:pPr>
        <w:spacing w:after="120"/>
      </w:pPr>
      <w:r>
        <w:rPr>
          <w:b/>
          <w:bCs/>
          <w:color w:val="FFFFFF"/>
          <w:sz w:val="18"/>
          <w:szCs w:val="18"/>
          <w:shd w:fill="C9961A" w:val="clear"/>
        </w:rPr>
        <w:t xml:space="preserve"> [MODERATE (docs)] </w:t>
      </w:r>
      <w:r>
        <w:rPr>
          <w:rFonts w:ascii="Courier New" w:cs="Courier New" w:eastAsia="Courier New" w:hAnsi="Courier New"/>
        </w:rPr>
        <w:t xml:space="preserve"> hydraulics.R, reservoirs.R</w:t>
      </w:r>
    </w:p>
    <w:p>
      <w:pPr>
        <w:spacing w:after="120"/>
      </w:pPr>
      <w:r>
        <w:rPr>
          <w:rFonts w:ascii="Courier New" w:cs="Courier New" w:eastAsia="Courier New" w:hAnsi="Courier New"/>
        </w:rPr>
        <w:t xml:space="preserve">V = mean_depth × surface_area</w:t>
      </w:r>
      <w:r>
        <w:t xml:space="preserve"> treats the reservoir as a right rectangular prism. For real reservoirs with shoreline complexity and bathymetric variation, this is fine as a first approximation but introduces error. The reservoirs.R documentation discloses that mean depths for quality-B reservoirs are estimated from </w:t>
      </w:r>
      <w:r>
        <w:rPr>
          <w:rFonts w:ascii="Courier New" w:cs="Courier New" w:eastAsia="Courier New" w:hAnsi="Courier New"/>
        </w:rPr>
        <w:t xml:space="preserve">log(mean_depth) = 0.28 × log(area_ha) − 0.34</w:t>
      </w:r>
      <w:r>
        <w:t xml:space="preserve">, but does not quantify the residual error of that regression. A reader who relies on a quality-B mean depth deserves to know that it carries a ~factor-of-1.5–2 prediction interval, which directly maps into ~factor-of-2 uncertainty in τ and hence in retention. Worth adding to the vignette.</w:t>
      </w:r>
    </w:p>
    <w:p>
      <w:pPr>
        <w:pStyle w:val="Heading2"/>
        <w:spacing w:after="140" w:before="280"/>
      </w:pPr>
      <w:r>
        <w:t xml:space="preserve">15. TSI mean across partial indices</w:t>
      </w:r>
    </w:p>
    <w:p>
      <w:pPr>
        <w:spacing w:after="120"/>
      </w:pPr>
      <w:r>
        <w:rPr>
          <w:b/>
          <w:bCs/>
          <w:color w:val="FFFFFF"/>
          <w:sz w:val="18"/>
          <w:szCs w:val="18"/>
          <w:shd w:fill="27AE60" w:val="clear"/>
        </w:rPr>
        <w:t xml:space="preserve"> [MINOR (docs)] </w:t>
      </w:r>
      <w:r>
        <w:rPr>
          <w:rFonts w:ascii="Courier New" w:cs="Courier New" w:eastAsia="Courier New" w:hAnsi="Courier New"/>
        </w:rPr>
        <w:t xml:space="preserve"> tsi.R</w:t>
      </w:r>
    </w:p>
    <w:p>
      <w:pPr>
        <w:spacing w:after="120"/>
      </w:pPr>
      <w:r>
        <w:rPr>
          <w:rFonts w:ascii="Courier New" w:cs="Courier New" w:eastAsia="Courier New" w:hAnsi="Courier New"/>
        </w:rPr>
        <w:t xml:space="preserve">ok_tsi()</w:t>
      </w:r>
      <w:r>
        <w:t xml:space="preserve"> takes </w:t>
      </w:r>
      <w:r>
        <w:rPr>
          <w:rFonts w:ascii="Courier New" w:cs="Courier New" w:eastAsia="Courier New" w:hAnsi="Courier New"/>
        </w:rPr>
        <w:t xml:space="preserve">mean(c(tsi_tp, tsi_chla, tsi_secchi), na.rm = TRUE)</w:t>
      </w:r>
      <w:r>
        <w:t xml:space="preserve">. If only TSI(TP) is available, the "mean" is TSI(TP) alone, with no warning that this is degenerate. Carlson's deviation framework expects all three to be present. Suggest: emit a message when fewer than three indices are available, and surface </w:t>
      </w:r>
      <w:r>
        <w:rPr>
          <w:rFonts w:ascii="Courier New" w:cs="Courier New" w:eastAsia="Courier New" w:hAnsi="Courier New"/>
        </w:rPr>
        <w:t xml:space="preserve">n_tsi_components </w:t>
      </w:r>
      <w:r>
        <w:t xml:space="preserve">in the result so downstream users know.</w:t>
      </w:r>
    </w:p>
    <w:p>
      <w:pPr>
        <w:pStyle w:val="Heading2"/>
        <w:spacing w:after="140" w:before="280"/>
      </w:pPr>
      <w:r>
        <w:t xml:space="preserve">16. Missing NEWS.md / cran-comments.md</w:t>
      </w:r>
    </w:p>
    <w:p>
      <w:pPr>
        <w:spacing w:after="120"/>
      </w:pPr>
      <w:r>
        <w:rPr>
          <w:b/>
          <w:bCs/>
          <w:color w:val="FFFFFF"/>
          <w:sz w:val="18"/>
          <w:szCs w:val="18"/>
          <w:shd w:fill="27AE60" w:val="clear"/>
        </w:rPr>
        <w:t xml:space="preserve"> [MINOR (workflow)] </w:t>
      </w:r>
      <w:r>
        <w:rPr>
          <w:rFonts w:ascii="Courier New" w:cs="Courier New" w:eastAsia="Courier New" w:hAnsi="Courier New"/>
        </w:rPr>
        <w:t xml:space="preserve"> package root</w:t>
      </w:r>
    </w:p>
    <w:p>
      <w:pPr>
        <w:spacing w:after="120"/>
      </w:pPr>
      <w:r>
        <w:rPr>
          <w:rFonts w:ascii="Courier New" w:cs="Courier New" w:eastAsia="Courier New" w:hAnsi="Courier New"/>
        </w:rPr>
        <w:t xml:space="preserve">NEWS.md</w:t>
      </w:r>
      <w:r>
        <w:t xml:space="preserve"> is the standard way to communicate the v0.1.0 → v0.1.1 → v0.2.0 changelog to CRAN reviewers and users. Even a minimal one (just "# okBATHTUB 0.1.0 — initial release") is better than none. </w:t>
      </w:r>
      <w:r>
        <w:rPr>
          <w:rFonts w:ascii="Courier New" w:cs="Courier New" w:eastAsia="Courier New" w:hAnsi="Courier New"/>
        </w:rPr>
        <w:t xml:space="preserve">cran-comments.md</w:t>
      </w:r>
      <w:r>
        <w:t xml:space="preserve"> is mentioned in .Rbuildignore but not present in the source tree — make sure you ship one with the actual submission letter and any policy-exception requests.</w:t>
      </w:r>
    </w:p>
    <w:p>
      <w:pPr>
        <w:pStyle w:val="Heading2"/>
        <w:spacing w:after="140" w:before="280"/>
      </w:pPr>
      <w:r>
        <w:t xml:space="preserve">17. Carlson TSI(Chl) coefficient: 9.81 vs. 9.84</w:t>
      </w:r>
    </w:p>
    <w:p>
      <w:pPr>
        <w:spacing w:after="120"/>
      </w:pPr>
      <w:r>
        <w:rPr>
          <w:b/>
          <w:bCs/>
          <w:color w:val="FFFFFF"/>
          <w:sz w:val="18"/>
          <w:szCs w:val="18"/>
          <w:shd w:fill="27AE60" w:val="clear"/>
        </w:rPr>
        <w:t xml:space="preserve"> [MINOR (docs)] </w:t>
      </w:r>
      <w:r>
        <w:rPr>
          <w:rFonts w:ascii="Courier New" w:cs="Courier New" w:eastAsia="Courier New" w:hAnsi="Courier New"/>
        </w:rPr>
        <w:t xml:space="preserve"> tsi.R</w:t>
      </w:r>
    </w:p>
    <w:p>
      <w:pPr>
        <w:spacing w:after="120"/>
      </w:pPr>
      <w:r>
        <w:t xml:space="preserve">The package uses </w:t>
      </w:r>
      <w:r>
        <w:rPr>
          <w:rFonts w:ascii="Courier New" w:cs="Courier New" w:eastAsia="Courier New" w:hAnsi="Courier New"/>
        </w:rPr>
        <w:t xml:space="preserve">TSI(Chl) = 9.81 × ln(Chl) + 30.6</w:t>
      </w:r>
      <w:r>
        <w:t xml:space="preserve">, which matches Carlson (1977) as cited in essentially all peer-reviewed limnology literature. Walker's BATHTUB documentation uses </w:t>
      </w:r>
      <w:r>
        <w:rPr>
          <w:rFonts w:ascii="Courier New" w:cs="Courier New" w:eastAsia="Courier New" w:hAnsi="Courier New"/>
        </w:rPr>
        <w:t xml:space="preserve">9.84</w:t>
      </w:r>
      <w:r>
        <w:t xml:space="preserve">, possibly a rounding/typo artifact. The package's value is the defensible one, but if you are claiming Walker compatibility the discrepancy should be acknowledged in a roxygen note.</w:t>
      </w:r>
    </w:p>
    <w:p>
      <w:pPr>
        <w:pStyle w:val="Heading2"/>
        <w:spacing w:after="140" w:before="280"/>
      </w:pPr>
      <w:r>
        <w:t xml:space="preserve">18. assert_okBATHTUB() error-message edge case</w:t>
      </w:r>
    </w:p>
    <w:p>
      <w:pPr>
        <w:spacing w:after="120"/>
      </w:pPr>
      <w:r>
        <w:rPr>
          <w:b/>
          <w:bCs/>
          <w:color w:val="FFFFFF"/>
          <w:sz w:val="18"/>
          <w:szCs w:val="18"/>
          <w:shd w:fill="27AE60" w:val="clear"/>
        </w:rPr>
        <w:t xml:space="preserve"> [MINOR (defensive code)] </w:t>
      </w:r>
      <w:r>
        <w:rPr>
          <w:rFonts w:ascii="Courier New" w:cs="Courier New" w:eastAsia="Courier New" w:hAnsi="Courier New"/>
        </w:rPr>
        <w:t xml:space="preserve"> okBATHTUB-package.R line 93</w:t>
      </w:r>
    </w:p>
    <w:p>
      <w:pPr>
        <w:spacing w:after="120"/>
      </w:pPr>
      <w:r>
        <w:t xml:space="preserve">If ever called with </w:t>
      </w:r>
      <w:r>
        <w:rPr>
          <w:rFonts w:ascii="Courier New" w:cs="Courier New" w:eastAsia="Courier New" w:hAnsi="Courier New"/>
        </w:rPr>
        <w:t xml:space="preserve">required_step = "load"</w:t>
      </w:r>
      <w:r>
        <w:t xml:space="preserve">, the error formatter accesses </w:t>
      </w:r>
      <w:r>
        <w:rPr>
          <w:rFonts w:ascii="Courier New" w:cs="Courier New" w:eastAsia="Courier New" w:hAnsi="Courier New"/>
        </w:rPr>
        <w:t xml:space="preserve">valid_steps[required_idx - 1L]</w:t>
      </w:r>
      <w:r>
        <w:t xml:space="preserve"> = </w:t>
      </w:r>
      <w:r>
        <w:rPr>
          <w:rFonts w:ascii="Courier New" w:cs="Courier New" w:eastAsia="Courier New" w:hAnsi="Courier New"/>
        </w:rPr>
        <w:t xml:space="preserve">valid_steps[0]</w:t>
      </w:r>
      <w:r>
        <w:t xml:space="preserve"> which is </w:t>
      </w:r>
      <w:r>
        <w:rPr>
          <w:rFonts w:ascii="Courier New" w:cs="Courier New" w:eastAsia="Courier New" w:hAnsi="Courier New"/>
        </w:rPr>
        <w:t xml:space="preserve">character(0)</w:t>
      </w:r>
      <w:r>
        <w:t xml:space="preserve">, producing a malformed error message. No current caller does this, but the function is exposed for future internal use. Add a guard.</w:t>
      </w:r>
    </w:p>
    <w:p>
      <w:pPr>
        <w:pStyle w:val="Heading1"/>
        <w:spacing w:after="180" w:before="360"/>
      </w:pPr>
      <w:r>
        <w:t xml:space="preserve">What is working well</w:t>
      </w:r>
    </w:p>
    <w:p>
      <w:pPr>
        <w:spacing w:after="120"/>
      </w:pPr>
      <w:r>
        <w:t xml:space="preserve">To balance the findings, the following are clear strengths of the package:</w:t>
      </w:r>
    </w:p>
    <w:p>
      <w:pPr>
        <w:pStyle w:val="ListParagraph"/>
        <w:numPr>
          <w:ilvl w:val="0"/>
          <w:numId w:val="2"/>
        </w:numPr>
        <w:spacing w:after="60"/>
      </w:pPr>
      <w:r>
        <w:t xml:space="preserve">The S3 class design is clean. The pipeline contract (load → hydraulics → retention → inlake → tsi) is well documented and consistently enforced via assert_okBATHTUB(required_step).</w:t>
      </w:r>
    </w:p>
    <w:p>
      <w:pPr>
        <w:pStyle w:val="ListParagraph"/>
        <w:numPr>
          <w:ilvl w:val="0"/>
          <w:numId w:val="2"/>
        </w:numPr>
        <w:spacing w:after="60"/>
      </w:pPr>
      <w:r>
        <w:t xml:space="preserve">The functions are well-decomposed; each file in R/ has a clear responsibility, and the helpers are sensible (e.g., the %||% null-coalescing operator).</w:t>
      </w:r>
    </w:p>
    <w:p>
      <w:pPr>
        <w:pStyle w:val="ListParagraph"/>
        <w:numPr>
          <w:ilvl w:val="0"/>
          <w:numId w:val="2"/>
        </w:numPr>
        <w:spacing w:after="60"/>
      </w:pPr>
      <w:r>
        <w:t xml:space="preserve">The pipe syntax works idiomatically; using base R's |&gt; pipe is the right call for modern packages.</w:t>
      </w:r>
    </w:p>
    <w:p>
      <w:pPr>
        <w:pStyle w:val="ListParagraph"/>
        <w:numPr>
          <w:ilvl w:val="0"/>
          <w:numId w:val="2"/>
        </w:numPr>
        <w:spacing w:after="60"/>
      </w:pPr>
      <w:r>
        <w:t xml:space="preserve">Test files exist for every major user-facing function and the test names are descriptive.</w:t>
      </w:r>
    </w:p>
    <w:p>
      <w:pPr>
        <w:pStyle w:val="ListParagraph"/>
        <w:numPr>
          <w:ilvl w:val="0"/>
          <w:numId w:val="2"/>
        </w:numPr>
        <w:spacing w:after="60"/>
      </w:pPr>
      <w:r>
        <w:t xml:space="preserve">Input validation in ok_load() and ok_hydraulics() is thorough — non-positive inflow, negative concentration, non-numeric inputs are caught with informative errors.</w:t>
      </w:r>
    </w:p>
    <w:p>
      <w:pPr>
        <w:pStyle w:val="ListParagraph"/>
        <w:numPr>
          <w:ilvl w:val="0"/>
          <w:numId w:val="2"/>
        </w:numPr>
        <w:spacing w:after="60"/>
      </w:pPr>
      <w:r>
        <w:t xml:space="preserve">The override mechanism in ok_retention() (tp_retention_override, tn_retention_override) is a thoughtful provision for users with observed retention data.</w:t>
      </w:r>
    </w:p>
    <w:p>
      <w:pPr>
        <w:pStyle w:val="ListParagraph"/>
        <w:numPr>
          <w:ilvl w:val="0"/>
          <w:numId w:val="2"/>
        </w:numPr>
        <w:spacing w:after="60"/>
      </w:pPr>
      <w:r>
        <w:t xml:space="preserve">The vignettes are well structured and the hawqs-linkage vignette in particular fills a useful documentation gap that doesn't exist anywhere else in the public R ecosystem.</w:t>
      </w:r>
    </w:p>
    <w:p>
      <w:pPr>
        <w:pStyle w:val="ListParagraph"/>
        <w:numPr>
          <w:ilvl w:val="0"/>
          <w:numId w:val="2"/>
        </w:numPr>
        <w:spacing w:after="60"/>
      </w:pPr>
      <w:r>
        <w:t xml:space="preserve">The plot.R caption embedding of OWRB branding is the only real problem there — the actual plot code is clean and the trophic color palette is sensible.</w:t>
      </w:r>
    </w:p>
    <w:p>
      <w:pPr>
        <w:pStyle w:val="ListParagraph"/>
        <w:numPr>
          <w:ilvl w:val="0"/>
          <w:numId w:val="2"/>
        </w:numPr>
        <w:spacing w:after="60"/>
      </w:pPr>
      <w:r>
        <w:t xml:space="preserve">ok_scenario_sweep() is genuinely useful — exactly the kind of "give me a load-response curve" function a 604(b) project manager would want.</w:t>
      </w:r>
    </w:p>
    <w:p>
      <w:pPr>
        <w:pStyle w:val="Heading1"/>
        <w:spacing w:after="180" w:before="360"/>
      </w:pPr>
      <w:r>
        <w:t xml:space="preserve">Recommended remediation order</w:t>
      </w:r>
    </w:p>
    <w:p>
      <w:pPr>
        <w:spacing w:after="120"/>
      </w:pPr>
      <w:r>
        <w:t xml:space="preserve">If you have limited time, this is the order I would address findings:</w:t>
      </w:r>
    </w:p>
    <w:p>
      <w:pPr>
        <w:pStyle w:val="ListParagraph"/>
        <w:numPr>
          <w:ilvl w:val="0"/>
          <w:numId w:val="2"/>
        </w:numPr>
        <w:spacing w:after="60"/>
      </w:pPr>
      <w:r>
        <w:rPr>
          <w:b/>
          <w:bCs/>
        </w:rPr>
        <w:t xml:space="preserve">Week 1 (blockers): </w:t>
      </w:r>
      <w:r>
        <w:t xml:space="preserve">populate ok_reservoirs.rda (#1); remove ok_project_path / ok_path or make them parameter-driven (#6).</w:t>
      </w:r>
    </w:p>
    <w:p>
      <w:pPr>
        <w:pStyle w:val="ListParagraph"/>
        <w:numPr>
          <w:ilvl w:val="0"/>
          <w:numId w:val="2"/>
        </w:numPr>
        <w:spacing w:after="60"/>
      </w:pPr>
      <w:r>
        <w:rPr>
          <w:b/>
          <w:bCs/>
        </w:rPr>
        <w:t xml:space="preserve">Week 1–2 (legal/policy): </w:t>
      </w:r>
      <w:r>
        <w:t xml:space="preserve">settle the OWRB-vs-personal authorship question with your supervisor in writing; pick Option A or B from finding #7; adjust DESCRIPTION/LICENSE/README/plot captions/email accordingly (#7); neutralize the AWQMS default config (#5).</w:t>
      </w:r>
    </w:p>
    <w:p>
      <w:pPr>
        <w:pStyle w:val="ListParagraph"/>
        <w:numPr>
          <w:ilvl w:val="0"/>
          <w:numId w:val="2"/>
        </w:numPr>
        <w:spacing w:after="60"/>
      </w:pPr>
      <w:r>
        <w:rPr>
          <w:b/>
          <w:bCs/>
        </w:rPr>
        <w:t xml:space="preserve">Week 2–3 (scientific): </w:t>
      </w:r>
      <w:r>
        <w:t xml:space="preserve">rewrite docs/README to stop calling Larsen-Mercier the Walker default (#2, #12); fix the AWQMS TN reconstruction and add a test (#3); reconcile the calibration sample-size inconsistency (#4); add a calibration provenance section to a new "calibration" vignette.</w:t>
      </w:r>
    </w:p>
    <w:p>
      <w:pPr>
        <w:pStyle w:val="ListParagraph"/>
        <w:numPr>
          <w:ilvl w:val="0"/>
          <w:numId w:val="2"/>
        </w:numPr>
        <w:spacing w:after="60"/>
      </w:pPr>
      <w:r>
        <w:rPr>
          <w:b/>
          <w:bCs/>
        </w:rPr>
        <w:t xml:space="preserve">Week 3 (correctness): </w:t>
      </w:r>
      <w:r>
        <w:t xml:space="preserve">add ecoregion to ok_load_multi() and tests (#8); review ecoregion fallback messaging (#9); add reference-output tests (#10).</w:t>
      </w:r>
    </w:p>
    <w:p>
      <w:pPr>
        <w:pStyle w:val="ListParagraph"/>
        <w:numPr>
          <w:ilvl w:val="0"/>
          <w:numId w:val="2"/>
        </w:numPr>
        <w:spacing w:after="60"/>
      </w:pPr>
      <w:r>
        <w:rPr>
          <w:b/>
          <w:bCs/>
        </w:rPr>
        <w:t xml:space="preserve">Week 4 (polish): </w:t>
      </w:r>
      <w:r>
        <w:t xml:space="preserve">findings 11, 13–18; create NEWS.md; create cran-comments.md; run R CMD check --as-cran locally; run rhub::check_for_cran().</w:t>
      </w:r>
    </w:p>
    <w:p>
      <w:pPr>
        <w:spacing w:after="120"/>
      </w:pPr>
      <w:r>
        <w:rPr>
          <w:b/>
          <w:bCs/>
        </w:rPr>
        <w:t xml:space="preserve">Before resubmitting to CRAN: </w:t>
      </w:r>
      <w:r>
        <w:t xml:space="preserve">withdraw the current submission. Submitting v0.1.1 with the items above resolved is far better than letting a CRAN volunteer find them and bounce the package, which costs you reputation and rework time. If the current submission is still in queue, email cran-submissions and ask to withdraw.</w:t>
      </w:r>
    </w:p>
    <w:p>
      <w:pPr>
        <w:pStyle w:val="Heading1"/>
        <w:spacing w:after="180" w:before="360"/>
      </w:pPr>
      <w:r>
        <w:t xml:space="preserve">Closing thoughts</w:t>
      </w:r>
    </w:p>
    <w:p>
      <w:pPr>
        <w:spacing w:after="120"/>
      </w:pPr>
      <w:r>
        <w:t xml:space="preserve">The package shows real software-engineering maturity — clean code, sensible architecture, decent tests, and a coherent API. The issues identified above are overwhelmingly about scientific framing, documentation honesty, and CRAN/policy hygiene rather than about the engineering itself. With the changes above the package would be a credible addition to the limnology toolkit and a genuinely useful complement to OK-HAWQS for the SWS reservoir program.</w:t>
      </w:r>
    </w:p>
    <w:p>
      <w:pPr>
        <w:spacing w:after="120"/>
      </w:pPr>
      <w:r>
        <w:t xml:space="preserve">A couple of forward-looking suggestions for v0.2.0 and beyond:</w:t>
      </w:r>
    </w:p>
    <w:p>
      <w:pPr>
        <w:pStyle w:val="ListParagraph"/>
        <w:numPr>
          <w:ilvl w:val="0"/>
          <w:numId w:val="2"/>
        </w:numPr>
        <w:spacing w:after="60"/>
      </w:pPr>
      <w:r>
        <w:t xml:space="preserve">Add the actual Walker BATHTUB Model 1 (second-order available P) as an option in .walker_coefficients(), so the package can honestly claim to implement "Walker's framework."</w:t>
      </w:r>
    </w:p>
    <w:p>
      <w:pPr>
        <w:pStyle w:val="ListParagraph"/>
        <w:numPr>
          <w:ilvl w:val="0"/>
          <w:numId w:val="2"/>
        </w:numPr>
        <w:spacing w:after="60"/>
      </w:pPr>
      <w:r>
        <w:t xml:space="preserve">Build a small calibration vignette that re-runs the Oklahoma ecoregion regressions from raw LMP data and writes the coefficients back into the package — this turns the calibration from undocumented magic numbers into reproducible science and lets future maintainers update it as new LMP data accumulate.</w:t>
      </w:r>
    </w:p>
    <w:p>
      <w:pPr>
        <w:pStyle w:val="ListParagraph"/>
        <w:numPr>
          <w:ilvl w:val="0"/>
          <w:numId w:val="2"/>
        </w:numPr>
        <w:spacing w:after="60"/>
      </w:pPr>
      <w:r>
        <w:t xml:space="preserve">Consider a separate okBATHTUB.awqms companion package for the OWRB-specific data pulls, so the public okBATHTUB stays clean of internal infrastructure and the AWQMS connector is free to be OWRB-specific.</w:t>
      </w:r>
    </w:p>
    <w:p>
      <w:pPr>
        <w:pStyle w:val="ListParagraph"/>
        <w:numPr>
          <w:ilvl w:val="0"/>
          <w:numId w:val="2"/>
        </w:numPr>
        <w:spacing w:after="60"/>
      </w:pPr>
      <w:r>
        <w:t xml:space="preserve">Add a 1–3-page "model uncertainty" appendix to the vignette covering the propagation of LMP-derived coefficient uncertainty into final TSI predictions. This is exactly the kind of thing peer reviewers ask about for a regulatory tool.</w:t>
      </w:r>
    </w:p>
    <w:p>
      <w:pPr>
        <w:spacing w:after="120"/>
      </w:pPr>
      <w:r>
        <w:t xml:space="preserve">Happy to dig deeper into any of the above — the AWQMS TN reconstruction in particular probably warrants its own review if it is feeding any production workflow.</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okBATHTUB v0.1.0 — Forensic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5C8A"/>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2026-05-11T14:55:29.564Z</dcterms:created>
  <dcterms:modified xsi:type="dcterms:W3CDTF">2026-05-11T14:55:29.580Z</dcterms:modified>
</cp:coreProperties>
</file>

<file path=docProps/custom.xml><?xml version="1.0" encoding="utf-8"?>
<Properties xmlns="http://schemas.openxmlformats.org/officeDocument/2006/custom-properties" xmlns:vt="http://schemas.openxmlformats.org/officeDocument/2006/docPropsVTypes"/>
</file>