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DE80E">
      <w:pPr>
        <w:pStyle w:val="13"/>
        <w:tabs>
          <w:tab w:val="right" w:leader="dot" w:pos="8306"/>
        </w:tabs>
        <w:ind w:left="3600" w:leftChars="0"/>
        <w:jc w:val="left"/>
        <w:rPr>
          <w:rFonts w:hint="default"/>
          <w:b/>
          <w:bCs/>
          <w:sz w:val="28"/>
          <w:szCs w:val="28"/>
          <w:lang w:val="en-US"/>
        </w:rPr>
      </w:pPr>
      <w:r>
        <w:rPr>
          <w:rFonts w:hint="default"/>
          <w:b/>
          <w:bCs/>
          <w:sz w:val="28"/>
          <w:szCs w:val="28"/>
          <w:lang w:val="en-US"/>
        </w:rPr>
        <w:t>Table Of Content</w:t>
      </w:r>
    </w:p>
    <w:p w14:paraId="5F89283A">
      <w:pPr>
        <w:pStyle w:val="13"/>
        <w:tabs>
          <w:tab w:val="right" w:leader="dot" w:pos="8306"/>
        </w:tabs>
        <w:rPr>
          <w:sz w:val="21"/>
          <w:szCs w:val="21"/>
        </w:rPr>
      </w:pPr>
      <w:r>
        <w:fldChar w:fldCharType="begin"/>
      </w:r>
      <w:r>
        <w:instrText xml:space="preserve">TOC \o "1-3" \h \u </w:instrText>
      </w:r>
      <w:r>
        <w:fldChar w:fldCharType="separate"/>
      </w:r>
      <w:r>
        <w:rPr>
          <w:sz w:val="21"/>
          <w:szCs w:val="21"/>
        </w:rPr>
        <w:fldChar w:fldCharType="begin"/>
      </w:r>
      <w:r>
        <w:rPr>
          <w:sz w:val="21"/>
          <w:szCs w:val="21"/>
        </w:rPr>
        <w:instrText xml:space="preserve"> HYPERLINK \l _Toc5944 </w:instrText>
      </w:r>
      <w:r>
        <w:rPr>
          <w:sz w:val="21"/>
          <w:szCs w:val="21"/>
        </w:rPr>
        <w:fldChar w:fldCharType="separate"/>
      </w:r>
      <w:r>
        <w:rPr>
          <w:rFonts w:hint="default" w:ascii="Arial" w:hAnsi="Arial" w:cs="Arial"/>
          <w:bCs/>
          <w:sz w:val="21"/>
          <w:szCs w:val="24"/>
          <w:shd w:val="clear" w:color="auto" w:fill="auto"/>
          <w:lang w:val="en-US"/>
        </w:rPr>
        <w:t>Financial Performance Management Report</w:t>
      </w:r>
      <w:r>
        <w:rPr>
          <w:sz w:val="21"/>
          <w:szCs w:val="21"/>
        </w:rPr>
        <w:tab/>
      </w:r>
      <w:r>
        <w:rPr>
          <w:sz w:val="21"/>
          <w:szCs w:val="21"/>
        </w:rPr>
        <w:fldChar w:fldCharType="begin"/>
      </w:r>
      <w:r>
        <w:rPr>
          <w:sz w:val="21"/>
          <w:szCs w:val="21"/>
        </w:rPr>
        <w:instrText xml:space="preserve"> PAGEREF _Toc5944 \h </w:instrText>
      </w:r>
      <w:r>
        <w:rPr>
          <w:sz w:val="21"/>
          <w:szCs w:val="21"/>
        </w:rPr>
        <w:fldChar w:fldCharType="separate"/>
      </w:r>
      <w:r>
        <w:rPr>
          <w:sz w:val="21"/>
          <w:szCs w:val="21"/>
        </w:rPr>
        <w:t>2</w:t>
      </w:r>
      <w:r>
        <w:rPr>
          <w:sz w:val="21"/>
          <w:szCs w:val="21"/>
        </w:rPr>
        <w:fldChar w:fldCharType="end"/>
      </w:r>
      <w:r>
        <w:rPr>
          <w:sz w:val="21"/>
          <w:szCs w:val="21"/>
        </w:rPr>
        <w:fldChar w:fldCharType="end"/>
      </w:r>
    </w:p>
    <w:p w14:paraId="4B998B08">
      <w:pPr>
        <w:pStyle w:val="13"/>
        <w:tabs>
          <w:tab w:val="right" w:leader="dot" w:pos="8306"/>
        </w:tabs>
        <w:rPr>
          <w:sz w:val="21"/>
          <w:szCs w:val="21"/>
        </w:rPr>
      </w:pPr>
      <w:r>
        <w:rPr>
          <w:sz w:val="21"/>
          <w:szCs w:val="21"/>
        </w:rPr>
        <w:fldChar w:fldCharType="begin"/>
      </w:r>
      <w:r>
        <w:rPr>
          <w:sz w:val="21"/>
          <w:szCs w:val="21"/>
        </w:rPr>
        <w:instrText xml:space="preserve"> HYPERLINK \l _Toc9726 </w:instrText>
      </w:r>
      <w:r>
        <w:rPr>
          <w:sz w:val="21"/>
          <w:szCs w:val="21"/>
        </w:rPr>
        <w:fldChar w:fldCharType="separate"/>
      </w:r>
      <w:r>
        <w:rPr>
          <w:rFonts w:hint="default" w:ascii="Arial" w:hAnsi="Arial" w:cs="Arial"/>
          <w:bCs/>
          <w:sz w:val="21"/>
          <w:szCs w:val="22"/>
          <w:shd w:val="clear" w:color="auto" w:fill="auto"/>
        </w:rPr>
        <w:t>1. Introduction</w:t>
      </w:r>
      <w:r>
        <w:rPr>
          <w:sz w:val="21"/>
          <w:szCs w:val="21"/>
        </w:rPr>
        <w:tab/>
      </w:r>
      <w:r>
        <w:rPr>
          <w:sz w:val="21"/>
          <w:szCs w:val="21"/>
        </w:rPr>
        <w:fldChar w:fldCharType="begin"/>
      </w:r>
      <w:r>
        <w:rPr>
          <w:sz w:val="21"/>
          <w:szCs w:val="21"/>
        </w:rPr>
        <w:instrText xml:space="preserve"> PAGEREF _Toc9726 \h </w:instrText>
      </w:r>
      <w:r>
        <w:rPr>
          <w:sz w:val="21"/>
          <w:szCs w:val="21"/>
        </w:rPr>
        <w:fldChar w:fldCharType="separate"/>
      </w:r>
      <w:r>
        <w:rPr>
          <w:sz w:val="21"/>
          <w:szCs w:val="21"/>
        </w:rPr>
        <w:t>2</w:t>
      </w:r>
      <w:r>
        <w:rPr>
          <w:sz w:val="21"/>
          <w:szCs w:val="21"/>
        </w:rPr>
        <w:fldChar w:fldCharType="end"/>
      </w:r>
      <w:r>
        <w:rPr>
          <w:sz w:val="21"/>
          <w:szCs w:val="21"/>
        </w:rPr>
        <w:fldChar w:fldCharType="end"/>
      </w:r>
    </w:p>
    <w:p w14:paraId="189A9AFD">
      <w:pPr>
        <w:pStyle w:val="13"/>
        <w:tabs>
          <w:tab w:val="right" w:leader="dot" w:pos="8306"/>
        </w:tabs>
        <w:rPr>
          <w:sz w:val="21"/>
          <w:szCs w:val="21"/>
        </w:rPr>
      </w:pPr>
      <w:r>
        <w:rPr>
          <w:sz w:val="21"/>
          <w:szCs w:val="21"/>
        </w:rPr>
        <w:fldChar w:fldCharType="begin"/>
      </w:r>
      <w:r>
        <w:rPr>
          <w:sz w:val="21"/>
          <w:szCs w:val="21"/>
        </w:rPr>
        <w:instrText xml:space="preserve"> HYPERLINK \l _Toc17819 </w:instrText>
      </w:r>
      <w:r>
        <w:rPr>
          <w:sz w:val="21"/>
          <w:szCs w:val="21"/>
        </w:rPr>
        <w:fldChar w:fldCharType="separate"/>
      </w:r>
      <w:r>
        <w:rPr>
          <w:rFonts w:hint="default" w:ascii="Arial" w:hAnsi="Arial" w:cs="Arial"/>
          <w:bCs/>
          <w:sz w:val="21"/>
          <w:szCs w:val="22"/>
          <w:shd w:val="clear" w:color="auto" w:fill="auto"/>
        </w:rPr>
        <w:t>2. Financial Performance using Ratio Analysis</w:t>
      </w:r>
      <w:r>
        <w:rPr>
          <w:sz w:val="21"/>
          <w:szCs w:val="21"/>
        </w:rPr>
        <w:tab/>
      </w:r>
      <w:r>
        <w:rPr>
          <w:sz w:val="21"/>
          <w:szCs w:val="21"/>
        </w:rPr>
        <w:fldChar w:fldCharType="begin"/>
      </w:r>
      <w:r>
        <w:rPr>
          <w:sz w:val="21"/>
          <w:szCs w:val="21"/>
        </w:rPr>
        <w:instrText xml:space="preserve"> PAGEREF _Toc17819 \h </w:instrText>
      </w:r>
      <w:r>
        <w:rPr>
          <w:sz w:val="21"/>
          <w:szCs w:val="21"/>
        </w:rPr>
        <w:fldChar w:fldCharType="separate"/>
      </w:r>
      <w:r>
        <w:rPr>
          <w:sz w:val="21"/>
          <w:szCs w:val="21"/>
        </w:rPr>
        <w:t>2</w:t>
      </w:r>
      <w:r>
        <w:rPr>
          <w:sz w:val="21"/>
          <w:szCs w:val="21"/>
        </w:rPr>
        <w:fldChar w:fldCharType="end"/>
      </w:r>
      <w:r>
        <w:rPr>
          <w:sz w:val="21"/>
          <w:szCs w:val="21"/>
        </w:rPr>
        <w:fldChar w:fldCharType="end"/>
      </w:r>
    </w:p>
    <w:p w14:paraId="5BF75165">
      <w:pPr>
        <w:pStyle w:val="14"/>
        <w:tabs>
          <w:tab w:val="right" w:leader="dot" w:pos="8306"/>
        </w:tabs>
        <w:rPr>
          <w:sz w:val="21"/>
          <w:szCs w:val="21"/>
        </w:rPr>
      </w:pPr>
      <w:r>
        <w:rPr>
          <w:sz w:val="21"/>
          <w:szCs w:val="21"/>
        </w:rPr>
        <w:fldChar w:fldCharType="begin"/>
      </w:r>
      <w:r>
        <w:rPr>
          <w:sz w:val="21"/>
          <w:szCs w:val="21"/>
        </w:rPr>
        <w:instrText xml:space="preserve"> HYPERLINK \l _Toc32545 </w:instrText>
      </w:r>
      <w:r>
        <w:rPr>
          <w:sz w:val="21"/>
          <w:szCs w:val="21"/>
        </w:rPr>
        <w:fldChar w:fldCharType="separate"/>
      </w:r>
      <w:r>
        <w:rPr>
          <w:rFonts w:hint="default" w:ascii="Arial" w:hAnsi="Arial" w:cs="Arial"/>
          <w:sz w:val="21"/>
          <w:szCs w:val="21"/>
          <w:shd w:val="clear" w:color="auto" w:fill="auto"/>
        </w:rPr>
        <w:t>2.1 Company Overview</w:t>
      </w:r>
      <w:r>
        <w:rPr>
          <w:sz w:val="21"/>
          <w:szCs w:val="21"/>
        </w:rPr>
        <w:tab/>
      </w:r>
      <w:r>
        <w:rPr>
          <w:sz w:val="21"/>
          <w:szCs w:val="21"/>
        </w:rPr>
        <w:fldChar w:fldCharType="begin"/>
      </w:r>
      <w:r>
        <w:rPr>
          <w:sz w:val="21"/>
          <w:szCs w:val="21"/>
        </w:rPr>
        <w:instrText xml:space="preserve"> PAGEREF _Toc32545 \h </w:instrText>
      </w:r>
      <w:r>
        <w:rPr>
          <w:sz w:val="21"/>
          <w:szCs w:val="21"/>
        </w:rPr>
        <w:fldChar w:fldCharType="separate"/>
      </w:r>
      <w:r>
        <w:rPr>
          <w:sz w:val="21"/>
          <w:szCs w:val="21"/>
        </w:rPr>
        <w:t>2</w:t>
      </w:r>
      <w:r>
        <w:rPr>
          <w:sz w:val="21"/>
          <w:szCs w:val="21"/>
        </w:rPr>
        <w:fldChar w:fldCharType="end"/>
      </w:r>
      <w:r>
        <w:rPr>
          <w:sz w:val="21"/>
          <w:szCs w:val="21"/>
        </w:rPr>
        <w:fldChar w:fldCharType="end"/>
      </w:r>
    </w:p>
    <w:p w14:paraId="0C89F465">
      <w:pPr>
        <w:pStyle w:val="14"/>
        <w:tabs>
          <w:tab w:val="right" w:leader="dot" w:pos="8306"/>
        </w:tabs>
        <w:rPr>
          <w:sz w:val="21"/>
          <w:szCs w:val="21"/>
        </w:rPr>
      </w:pPr>
      <w:r>
        <w:rPr>
          <w:sz w:val="21"/>
          <w:szCs w:val="21"/>
        </w:rPr>
        <w:fldChar w:fldCharType="begin"/>
      </w:r>
      <w:r>
        <w:rPr>
          <w:sz w:val="21"/>
          <w:szCs w:val="21"/>
        </w:rPr>
        <w:instrText xml:space="preserve"> HYPERLINK \l _Toc21740 </w:instrText>
      </w:r>
      <w:r>
        <w:rPr>
          <w:sz w:val="21"/>
          <w:szCs w:val="21"/>
        </w:rPr>
        <w:fldChar w:fldCharType="separate"/>
      </w:r>
      <w:r>
        <w:rPr>
          <w:rFonts w:hint="default" w:ascii="Arial" w:hAnsi="Arial" w:cs="Arial"/>
          <w:sz w:val="21"/>
          <w:szCs w:val="21"/>
          <w:shd w:val="clear" w:color="auto" w:fill="auto"/>
        </w:rPr>
        <w:t>2.2 Rationale for Competitor Selection</w:t>
      </w:r>
      <w:r>
        <w:rPr>
          <w:sz w:val="21"/>
          <w:szCs w:val="21"/>
        </w:rPr>
        <w:tab/>
      </w:r>
      <w:r>
        <w:rPr>
          <w:sz w:val="21"/>
          <w:szCs w:val="21"/>
        </w:rPr>
        <w:fldChar w:fldCharType="begin"/>
      </w:r>
      <w:r>
        <w:rPr>
          <w:sz w:val="21"/>
          <w:szCs w:val="21"/>
        </w:rPr>
        <w:instrText xml:space="preserve"> PAGEREF _Toc21740 \h </w:instrText>
      </w:r>
      <w:r>
        <w:rPr>
          <w:sz w:val="21"/>
          <w:szCs w:val="21"/>
        </w:rPr>
        <w:fldChar w:fldCharType="separate"/>
      </w:r>
      <w:r>
        <w:rPr>
          <w:sz w:val="21"/>
          <w:szCs w:val="21"/>
        </w:rPr>
        <w:t>3</w:t>
      </w:r>
      <w:r>
        <w:rPr>
          <w:sz w:val="21"/>
          <w:szCs w:val="21"/>
        </w:rPr>
        <w:fldChar w:fldCharType="end"/>
      </w:r>
      <w:r>
        <w:rPr>
          <w:sz w:val="21"/>
          <w:szCs w:val="21"/>
        </w:rPr>
        <w:fldChar w:fldCharType="end"/>
      </w:r>
    </w:p>
    <w:p w14:paraId="241D0320">
      <w:pPr>
        <w:pStyle w:val="14"/>
        <w:tabs>
          <w:tab w:val="right" w:leader="dot" w:pos="8306"/>
        </w:tabs>
        <w:rPr>
          <w:sz w:val="21"/>
          <w:szCs w:val="21"/>
        </w:rPr>
      </w:pPr>
      <w:r>
        <w:rPr>
          <w:sz w:val="21"/>
          <w:szCs w:val="21"/>
        </w:rPr>
        <w:fldChar w:fldCharType="begin"/>
      </w:r>
      <w:r>
        <w:rPr>
          <w:sz w:val="21"/>
          <w:szCs w:val="21"/>
        </w:rPr>
        <w:instrText xml:space="preserve"> HYPERLINK \l _Toc10793 </w:instrText>
      </w:r>
      <w:r>
        <w:rPr>
          <w:sz w:val="21"/>
          <w:szCs w:val="21"/>
        </w:rPr>
        <w:fldChar w:fldCharType="separate"/>
      </w:r>
      <w:r>
        <w:rPr>
          <w:rFonts w:hint="default" w:ascii="Arial" w:hAnsi="Arial" w:cs="Arial"/>
          <w:sz w:val="21"/>
          <w:szCs w:val="21"/>
          <w:shd w:val="clear" w:color="auto" w:fill="auto"/>
        </w:rPr>
        <w:t>2.3 Dummy Financial Data (in € millions)</w:t>
      </w:r>
      <w:r>
        <w:rPr>
          <w:sz w:val="21"/>
          <w:szCs w:val="21"/>
        </w:rPr>
        <w:tab/>
      </w:r>
      <w:r>
        <w:rPr>
          <w:sz w:val="21"/>
          <w:szCs w:val="21"/>
        </w:rPr>
        <w:fldChar w:fldCharType="begin"/>
      </w:r>
      <w:r>
        <w:rPr>
          <w:sz w:val="21"/>
          <w:szCs w:val="21"/>
        </w:rPr>
        <w:instrText xml:space="preserve"> PAGEREF _Toc10793 \h </w:instrText>
      </w:r>
      <w:r>
        <w:rPr>
          <w:sz w:val="21"/>
          <w:szCs w:val="21"/>
        </w:rPr>
        <w:fldChar w:fldCharType="separate"/>
      </w:r>
      <w:r>
        <w:rPr>
          <w:sz w:val="21"/>
          <w:szCs w:val="21"/>
        </w:rPr>
        <w:t>3</w:t>
      </w:r>
      <w:r>
        <w:rPr>
          <w:sz w:val="21"/>
          <w:szCs w:val="21"/>
        </w:rPr>
        <w:fldChar w:fldCharType="end"/>
      </w:r>
      <w:r>
        <w:rPr>
          <w:sz w:val="21"/>
          <w:szCs w:val="21"/>
        </w:rPr>
        <w:fldChar w:fldCharType="end"/>
      </w:r>
    </w:p>
    <w:p w14:paraId="545A9BA7">
      <w:pPr>
        <w:pStyle w:val="14"/>
        <w:tabs>
          <w:tab w:val="right" w:leader="dot" w:pos="8306"/>
        </w:tabs>
        <w:rPr>
          <w:sz w:val="21"/>
          <w:szCs w:val="21"/>
        </w:rPr>
      </w:pPr>
      <w:r>
        <w:rPr>
          <w:sz w:val="21"/>
          <w:szCs w:val="21"/>
        </w:rPr>
        <w:fldChar w:fldCharType="begin"/>
      </w:r>
      <w:r>
        <w:rPr>
          <w:sz w:val="21"/>
          <w:szCs w:val="21"/>
        </w:rPr>
        <w:instrText xml:space="preserve"> HYPERLINK \l _Toc19851 </w:instrText>
      </w:r>
      <w:r>
        <w:rPr>
          <w:sz w:val="21"/>
          <w:szCs w:val="21"/>
        </w:rPr>
        <w:fldChar w:fldCharType="separate"/>
      </w:r>
      <w:r>
        <w:rPr>
          <w:rFonts w:hint="default" w:ascii="Arial" w:hAnsi="Arial" w:cs="Arial"/>
          <w:sz w:val="21"/>
          <w:szCs w:val="21"/>
          <w:shd w:val="clear" w:color="auto" w:fill="auto"/>
        </w:rPr>
        <w:t>2.4 Ratio Analysis</w:t>
      </w:r>
      <w:r>
        <w:rPr>
          <w:sz w:val="21"/>
          <w:szCs w:val="21"/>
        </w:rPr>
        <w:tab/>
      </w:r>
      <w:r>
        <w:rPr>
          <w:sz w:val="21"/>
          <w:szCs w:val="21"/>
        </w:rPr>
        <w:fldChar w:fldCharType="begin"/>
      </w:r>
      <w:r>
        <w:rPr>
          <w:sz w:val="21"/>
          <w:szCs w:val="21"/>
        </w:rPr>
        <w:instrText xml:space="preserve"> PAGEREF _Toc19851 \h </w:instrText>
      </w:r>
      <w:r>
        <w:rPr>
          <w:sz w:val="21"/>
          <w:szCs w:val="21"/>
        </w:rPr>
        <w:fldChar w:fldCharType="separate"/>
      </w:r>
      <w:r>
        <w:rPr>
          <w:sz w:val="21"/>
          <w:szCs w:val="21"/>
        </w:rPr>
        <w:t>4</w:t>
      </w:r>
      <w:r>
        <w:rPr>
          <w:sz w:val="21"/>
          <w:szCs w:val="21"/>
        </w:rPr>
        <w:fldChar w:fldCharType="end"/>
      </w:r>
      <w:r>
        <w:rPr>
          <w:sz w:val="21"/>
          <w:szCs w:val="21"/>
        </w:rPr>
        <w:fldChar w:fldCharType="end"/>
      </w:r>
    </w:p>
    <w:p w14:paraId="0F4C3252">
      <w:pPr>
        <w:pStyle w:val="14"/>
        <w:tabs>
          <w:tab w:val="right" w:leader="dot" w:pos="8306"/>
        </w:tabs>
        <w:rPr>
          <w:sz w:val="21"/>
          <w:szCs w:val="21"/>
        </w:rPr>
      </w:pPr>
      <w:r>
        <w:rPr>
          <w:sz w:val="21"/>
          <w:szCs w:val="21"/>
        </w:rPr>
        <w:fldChar w:fldCharType="begin"/>
      </w:r>
      <w:r>
        <w:rPr>
          <w:sz w:val="21"/>
          <w:szCs w:val="21"/>
        </w:rPr>
        <w:instrText xml:space="preserve"> HYPERLINK \l _Toc17737 </w:instrText>
      </w:r>
      <w:r>
        <w:rPr>
          <w:sz w:val="21"/>
          <w:szCs w:val="21"/>
        </w:rPr>
        <w:fldChar w:fldCharType="separate"/>
      </w:r>
      <w:r>
        <w:rPr>
          <w:rFonts w:hint="default" w:ascii="Arial" w:hAnsi="Arial" w:cs="Arial"/>
          <w:sz w:val="21"/>
          <w:szCs w:val="21"/>
          <w:shd w:val="clear" w:color="auto" w:fill="auto"/>
        </w:rPr>
        <w:t>2.5 Comparative Evaluation &amp; Discussion</w:t>
      </w:r>
      <w:r>
        <w:rPr>
          <w:sz w:val="21"/>
          <w:szCs w:val="21"/>
        </w:rPr>
        <w:tab/>
      </w:r>
      <w:r>
        <w:rPr>
          <w:sz w:val="21"/>
          <w:szCs w:val="21"/>
        </w:rPr>
        <w:fldChar w:fldCharType="begin"/>
      </w:r>
      <w:r>
        <w:rPr>
          <w:sz w:val="21"/>
          <w:szCs w:val="21"/>
        </w:rPr>
        <w:instrText xml:space="preserve"> PAGEREF _Toc17737 \h </w:instrText>
      </w:r>
      <w:r>
        <w:rPr>
          <w:sz w:val="21"/>
          <w:szCs w:val="21"/>
        </w:rPr>
        <w:fldChar w:fldCharType="separate"/>
      </w:r>
      <w:r>
        <w:rPr>
          <w:sz w:val="21"/>
          <w:szCs w:val="21"/>
        </w:rPr>
        <w:t>5</w:t>
      </w:r>
      <w:r>
        <w:rPr>
          <w:sz w:val="21"/>
          <w:szCs w:val="21"/>
        </w:rPr>
        <w:fldChar w:fldCharType="end"/>
      </w:r>
      <w:r>
        <w:rPr>
          <w:sz w:val="21"/>
          <w:szCs w:val="21"/>
        </w:rPr>
        <w:fldChar w:fldCharType="end"/>
      </w:r>
    </w:p>
    <w:p w14:paraId="73BD8AAE">
      <w:pPr>
        <w:pStyle w:val="13"/>
        <w:tabs>
          <w:tab w:val="right" w:leader="dot" w:pos="8306"/>
        </w:tabs>
        <w:rPr>
          <w:sz w:val="21"/>
          <w:szCs w:val="21"/>
        </w:rPr>
      </w:pPr>
      <w:r>
        <w:rPr>
          <w:sz w:val="21"/>
          <w:szCs w:val="21"/>
        </w:rPr>
        <w:fldChar w:fldCharType="begin"/>
      </w:r>
      <w:r>
        <w:rPr>
          <w:sz w:val="21"/>
          <w:szCs w:val="21"/>
        </w:rPr>
        <w:instrText xml:space="preserve"> HYPERLINK \l _Toc5839 </w:instrText>
      </w:r>
      <w:r>
        <w:rPr>
          <w:sz w:val="21"/>
          <w:szCs w:val="21"/>
        </w:rPr>
        <w:fldChar w:fldCharType="separate"/>
      </w:r>
      <w:r>
        <w:rPr>
          <w:rFonts w:hint="default" w:ascii="Arial" w:hAnsi="Arial" w:cs="Arial"/>
          <w:bCs/>
          <w:sz w:val="21"/>
          <w:szCs w:val="22"/>
          <w:shd w:val="clear" w:color="auto" w:fill="auto"/>
        </w:rPr>
        <w:t>3. Balanced Scorecard (BSC) – Strategic Performance Evaluation</w:t>
      </w:r>
      <w:r>
        <w:rPr>
          <w:sz w:val="21"/>
          <w:szCs w:val="21"/>
        </w:rPr>
        <w:tab/>
      </w:r>
      <w:r>
        <w:rPr>
          <w:sz w:val="21"/>
          <w:szCs w:val="21"/>
        </w:rPr>
        <w:fldChar w:fldCharType="begin"/>
      </w:r>
      <w:r>
        <w:rPr>
          <w:sz w:val="21"/>
          <w:szCs w:val="21"/>
        </w:rPr>
        <w:instrText xml:space="preserve"> PAGEREF _Toc5839 \h </w:instrText>
      </w:r>
      <w:r>
        <w:rPr>
          <w:sz w:val="21"/>
          <w:szCs w:val="21"/>
        </w:rPr>
        <w:fldChar w:fldCharType="separate"/>
      </w:r>
      <w:r>
        <w:rPr>
          <w:sz w:val="21"/>
          <w:szCs w:val="21"/>
        </w:rPr>
        <w:t>6</w:t>
      </w:r>
      <w:r>
        <w:rPr>
          <w:sz w:val="21"/>
          <w:szCs w:val="21"/>
        </w:rPr>
        <w:fldChar w:fldCharType="end"/>
      </w:r>
      <w:r>
        <w:rPr>
          <w:sz w:val="21"/>
          <w:szCs w:val="21"/>
        </w:rPr>
        <w:fldChar w:fldCharType="end"/>
      </w:r>
    </w:p>
    <w:p w14:paraId="319D3DDB">
      <w:pPr>
        <w:pStyle w:val="14"/>
        <w:tabs>
          <w:tab w:val="right" w:leader="dot" w:pos="8306"/>
        </w:tabs>
        <w:rPr>
          <w:sz w:val="21"/>
          <w:szCs w:val="21"/>
        </w:rPr>
      </w:pPr>
      <w:r>
        <w:rPr>
          <w:sz w:val="21"/>
          <w:szCs w:val="21"/>
        </w:rPr>
        <w:fldChar w:fldCharType="begin"/>
      </w:r>
      <w:r>
        <w:rPr>
          <w:sz w:val="21"/>
          <w:szCs w:val="21"/>
        </w:rPr>
        <w:instrText xml:space="preserve"> HYPERLINK \l _Toc7337 </w:instrText>
      </w:r>
      <w:r>
        <w:rPr>
          <w:sz w:val="21"/>
          <w:szCs w:val="21"/>
        </w:rPr>
        <w:fldChar w:fldCharType="separate"/>
      </w:r>
      <w:r>
        <w:rPr>
          <w:rFonts w:hint="default" w:ascii="Arial" w:hAnsi="Arial" w:cs="Arial"/>
          <w:sz w:val="21"/>
          <w:szCs w:val="21"/>
          <w:shd w:val="clear" w:color="auto" w:fill="auto"/>
        </w:rPr>
        <w:t>3.1 Introduction to the Balanced Scorecard</w:t>
      </w:r>
      <w:r>
        <w:rPr>
          <w:sz w:val="21"/>
          <w:szCs w:val="21"/>
        </w:rPr>
        <w:tab/>
      </w:r>
      <w:r>
        <w:rPr>
          <w:sz w:val="21"/>
          <w:szCs w:val="21"/>
        </w:rPr>
        <w:fldChar w:fldCharType="begin"/>
      </w:r>
      <w:r>
        <w:rPr>
          <w:sz w:val="21"/>
          <w:szCs w:val="21"/>
        </w:rPr>
        <w:instrText xml:space="preserve"> PAGEREF _Toc7337 \h </w:instrText>
      </w:r>
      <w:r>
        <w:rPr>
          <w:sz w:val="21"/>
          <w:szCs w:val="21"/>
        </w:rPr>
        <w:fldChar w:fldCharType="separate"/>
      </w:r>
      <w:r>
        <w:rPr>
          <w:sz w:val="21"/>
          <w:szCs w:val="21"/>
        </w:rPr>
        <w:t>6</w:t>
      </w:r>
      <w:r>
        <w:rPr>
          <w:sz w:val="21"/>
          <w:szCs w:val="21"/>
        </w:rPr>
        <w:fldChar w:fldCharType="end"/>
      </w:r>
      <w:r>
        <w:rPr>
          <w:sz w:val="21"/>
          <w:szCs w:val="21"/>
        </w:rPr>
        <w:fldChar w:fldCharType="end"/>
      </w:r>
    </w:p>
    <w:p w14:paraId="5A5C3C58">
      <w:pPr>
        <w:pStyle w:val="14"/>
        <w:tabs>
          <w:tab w:val="right" w:leader="dot" w:pos="8306"/>
        </w:tabs>
        <w:rPr>
          <w:sz w:val="21"/>
          <w:szCs w:val="21"/>
        </w:rPr>
      </w:pPr>
      <w:r>
        <w:rPr>
          <w:sz w:val="21"/>
          <w:szCs w:val="21"/>
        </w:rPr>
        <w:fldChar w:fldCharType="begin"/>
      </w:r>
      <w:r>
        <w:rPr>
          <w:sz w:val="21"/>
          <w:szCs w:val="21"/>
        </w:rPr>
        <w:instrText xml:space="preserve"> HYPERLINK \l _Toc28103 </w:instrText>
      </w:r>
      <w:r>
        <w:rPr>
          <w:sz w:val="21"/>
          <w:szCs w:val="21"/>
        </w:rPr>
        <w:fldChar w:fldCharType="separate"/>
      </w:r>
      <w:r>
        <w:rPr>
          <w:rFonts w:hint="default" w:ascii="Arial" w:hAnsi="Arial" w:cs="Arial"/>
          <w:sz w:val="21"/>
          <w:szCs w:val="21"/>
          <w:shd w:val="clear" w:color="auto" w:fill="auto"/>
        </w:rPr>
        <w:t>3.2 Critical Evaluation of BSC</w:t>
      </w:r>
      <w:r>
        <w:rPr>
          <w:sz w:val="21"/>
          <w:szCs w:val="21"/>
        </w:rPr>
        <w:tab/>
      </w:r>
      <w:r>
        <w:rPr>
          <w:sz w:val="21"/>
          <w:szCs w:val="21"/>
        </w:rPr>
        <w:fldChar w:fldCharType="begin"/>
      </w:r>
      <w:r>
        <w:rPr>
          <w:sz w:val="21"/>
          <w:szCs w:val="21"/>
        </w:rPr>
        <w:instrText xml:space="preserve"> PAGEREF _Toc28103 \h </w:instrText>
      </w:r>
      <w:r>
        <w:rPr>
          <w:sz w:val="21"/>
          <w:szCs w:val="21"/>
        </w:rPr>
        <w:fldChar w:fldCharType="separate"/>
      </w:r>
      <w:r>
        <w:rPr>
          <w:sz w:val="21"/>
          <w:szCs w:val="21"/>
        </w:rPr>
        <w:t>6</w:t>
      </w:r>
      <w:r>
        <w:rPr>
          <w:sz w:val="21"/>
          <w:szCs w:val="21"/>
        </w:rPr>
        <w:fldChar w:fldCharType="end"/>
      </w:r>
      <w:r>
        <w:rPr>
          <w:sz w:val="21"/>
          <w:szCs w:val="21"/>
        </w:rPr>
        <w:fldChar w:fldCharType="end"/>
      </w:r>
    </w:p>
    <w:p w14:paraId="0D3AE926">
      <w:pPr>
        <w:pStyle w:val="14"/>
        <w:tabs>
          <w:tab w:val="right" w:leader="dot" w:pos="8306"/>
        </w:tabs>
        <w:rPr>
          <w:sz w:val="21"/>
          <w:szCs w:val="21"/>
        </w:rPr>
      </w:pPr>
      <w:r>
        <w:rPr>
          <w:sz w:val="21"/>
          <w:szCs w:val="21"/>
        </w:rPr>
        <w:fldChar w:fldCharType="begin"/>
      </w:r>
      <w:r>
        <w:rPr>
          <w:sz w:val="21"/>
          <w:szCs w:val="21"/>
        </w:rPr>
        <w:instrText xml:space="preserve"> HYPERLINK \l _Toc7319 </w:instrText>
      </w:r>
      <w:r>
        <w:rPr>
          <w:sz w:val="21"/>
          <w:szCs w:val="21"/>
        </w:rPr>
        <w:fldChar w:fldCharType="separate"/>
      </w:r>
      <w:r>
        <w:rPr>
          <w:rFonts w:hint="default" w:ascii="Arial" w:hAnsi="Arial" w:cs="Arial"/>
          <w:sz w:val="21"/>
          <w:szCs w:val="21"/>
          <w:shd w:val="clear" w:color="auto" w:fill="auto"/>
        </w:rPr>
        <w:t>3.3 Adidas’s Strategic Vision</w:t>
      </w:r>
      <w:r>
        <w:rPr>
          <w:sz w:val="21"/>
          <w:szCs w:val="21"/>
        </w:rPr>
        <w:tab/>
      </w:r>
      <w:r>
        <w:rPr>
          <w:sz w:val="21"/>
          <w:szCs w:val="21"/>
        </w:rPr>
        <w:fldChar w:fldCharType="begin"/>
      </w:r>
      <w:r>
        <w:rPr>
          <w:sz w:val="21"/>
          <w:szCs w:val="21"/>
        </w:rPr>
        <w:instrText xml:space="preserve"> PAGEREF _Toc7319 \h </w:instrText>
      </w:r>
      <w:r>
        <w:rPr>
          <w:sz w:val="21"/>
          <w:szCs w:val="21"/>
        </w:rPr>
        <w:fldChar w:fldCharType="separate"/>
      </w:r>
      <w:r>
        <w:rPr>
          <w:sz w:val="21"/>
          <w:szCs w:val="21"/>
        </w:rPr>
        <w:t>7</w:t>
      </w:r>
      <w:r>
        <w:rPr>
          <w:sz w:val="21"/>
          <w:szCs w:val="21"/>
        </w:rPr>
        <w:fldChar w:fldCharType="end"/>
      </w:r>
      <w:r>
        <w:rPr>
          <w:sz w:val="21"/>
          <w:szCs w:val="21"/>
        </w:rPr>
        <w:fldChar w:fldCharType="end"/>
      </w:r>
    </w:p>
    <w:p w14:paraId="4948F562">
      <w:pPr>
        <w:pStyle w:val="14"/>
        <w:tabs>
          <w:tab w:val="right" w:leader="dot" w:pos="8306"/>
        </w:tabs>
        <w:rPr>
          <w:sz w:val="21"/>
          <w:szCs w:val="21"/>
        </w:rPr>
      </w:pPr>
      <w:r>
        <w:rPr>
          <w:sz w:val="21"/>
          <w:szCs w:val="21"/>
        </w:rPr>
        <w:fldChar w:fldCharType="begin"/>
      </w:r>
      <w:r>
        <w:rPr>
          <w:sz w:val="21"/>
          <w:szCs w:val="21"/>
        </w:rPr>
        <w:instrText xml:space="preserve"> HYPERLINK \l _Toc2843 </w:instrText>
      </w:r>
      <w:r>
        <w:rPr>
          <w:sz w:val="21"/>
          <w:szCs w:val="21"/>
        </w:rPr>
        <w:fldChar w:fldCharType="separate"/>
      </w:r>
      <w:r>
        <w:rPr>
          <w:rFonts w:hint="default" w:ascii="Arial" w:hAnsi="Arial" w:cs="Arial"/>
          <w:sz w:val="21"/>
          <w:szCs w:val="21"/>
          <w:shd w:val="clear" w:color="auto" w:fill="auto"/>
        </w:rPr>
        <w:t>3.4 Balanced Scorecard for Adidas AG</w:t>
      </w:r>
      <w:r>
        <w:rPr>
          <w:sz w:val="21"/>
          <w:szCs w:val="21"/>
        </w:rPr>
        <w:tab/>
      </w:r>
      <w:r>
        <w:rPr>
          <w:sz w:val="21"/>
          <w:szCs w:val="21"/>
        </w:rPr>
        <w:fldChar w:fldCharType="begin"/>
      </w:r>
      <w:r>
        <w:rPr>
          <w:sz w:val="21"/>
          <w:szCs w:val="21"/>
        </w:rPr>
        <w:instrText xml:space="preserve"> PAGEREF _Toc2843 \h </w:instrText>
      </w:r>
      <w:r>
        <w:rPr>
          <w:sz w:val="21"/>
          <w:szCs w:val="21"/>
        </w:rPr>
        <w:fldChar w:fldCharType="separate"/>
      </w:r>
      <w:r>
        <w:rPr>
          <w:sz w:val="21"/>
          <w:szCs w:val="21"/>
        </w:rPr>
        <w:t>7</w:t>
      </w:r>
      <w:r>
        <w:rPr>
          <w:sz w:val="21"/>
          <w:szCs w:val="21"/>
        </w:rPr>
        <w:fldChar w:fldCharType="end"/>
      </w:r>
      <w:r>
        <w:rPr>
          <w:sz w:val="21"/>
          <w:szCs w:val="21"/>
        </w:rPr>
        <w:fldChar w:fldCharType="end"/>
      </w:r>
    </w:p>
    <w:p w14:paraId="4F26C2B2">
      <w:pPr>
        <w:pStyle w:val="14"/>
        <w:tabs>
          <w:tab w:val="right" w:leader="dot" w:pos="8306"/>
        </w:tabs>
        <w:rPr>
          <w:sz w:val="21"/>
          <w:szCs w:val="21"/>
        </w:rPr>
      </w:pPr>
      <w:r>
        <w:rPr>
          <w:sz w:val="21"/>
          <w:szCs w:val="21"/>
        </w:rPr>
        <w:fldChar w:fldCharType="begin"/>
      </w:r>
      <w:r>
        <w:rPr>
          <w:sz w:val="21"/>
          <w:szCs w:val="21"/>
        </w:rPr>
        <w:instrText xml:space="preserve"> HYPERLINK \l _Toc27239 </w:instrText>
      </w:r>
      <w:r>
        <w:rPr>
          <w:sz w:val="21"/>
          <w:szCs w:val="21"/>
        </w:rPr>
        <w:fldChar w:fldCharType="separate"/>
      </w:r>
      <w:r>
        <w:rPr>
          <w:rFonts w:hint="default" w:ascii="Arial" w:hAnsi="Arial" w:cs="Arial"/>
          <w:sz w:val="21"/>
          <w:szCs w:val="21"/>
          <w:shd w:val="clear" w:color="auto" w:fill="auto"/>
        </w:rPr>
        <w:t>3.5 Critical Success Factors (CSFs)</w:t>
      </w:r>
      <w:r>
        <w:rPr>
          <w:sz w:val="21"/>
          <w:szCs w:val="21"/>
        </w:rPr>
        <w:tab/>
      </w:r>
      <w:r>
        <w:rPr>
          <w:sz w:val="21"/>
          <w:szCs w:val="21"/>
        </w:rPr>
        <w:fldChar w:fldCharType="begin"/>
      </w:r>
      <w:r>
        <w:rPr>
          <w:sz w:val="21"/>
          <w:szCs w:val="21"/>
        </w:rPr>
        <w:instrText xml:space="preserve"> PAGEREF _Toc27239 \h </w:instrText>
      </w:r>
      <w:r>
        <w:rPr>
          <w:sz w:val="21"/>
          <w:szCs w:val="21"/>
        </w:rPr>
        <w:fldChar w:fldCharType="separate"/>
      </w:r>
      <w:r>
        <w:rPr>
          <w:sz w:val="21"/>
          <w:szCs w:val="21"/>
        </w:rPr>
        <w:t>9</w:t>
      </w:r>
      <w:r>
        <w:rPr>
          <w:sz w:val="21"/>
          <w:szCs w:val="21"/>
        </w:rPr>
        <w:fldChar w:fldCharType="end"/>
      </w:r>
      <w:r>
        <w:rPr>
          <w:sz w:val="21"/>
          <w:szCs w:val="21"/>
        </w:rPr>
        <w:fldChar w:fldCharType="end"/>
      </w:r>
    </w:p>
    <w:p w14:paraId="4DFE317A">
      <w:pPr>
        <w:pStyle w:val="14"/>
        <w:tabs>
          <w:tab w:val="right" w:leader="dot" w:pos="8306"/>
        </w:tabs>
        <w:rPr>
          <w:sz w:val="21"/>
          <w:szCs w:val="21"/>
        </w:rPr>
      </w:pPr>
      <w:r>
        <w:rPr>
          <w:sz w:val="21"/>
          <w:szCs w:val="21"/>
        </w:rPr>
        <w:fldChar w:fldCharType="begin"/>
      </w:r>
      <w:r>
        <w:rPr>
          <w:sz w:val="21"/>
          <w:szCs w:val="21"/>
        </w:rPr>
        <w:instrText xml:space="preserve"> HYPERLINK \l _Toc14575 </w:instrText>
      </w:r>
      <w:r>
        <w:rPr>
          <w:sz w:val="21"/>
          <w:szCs w:val="21"/>
        </w:rPr>
        <w:fldChar w:fldCharType="separate"/>
      </w:r>
      <w:r>
        <w:rPr>
          <w:rFonts w:hint="default" w:ascii="Arial" w:hAnsi="Arial" w:cs="Arial"/>
          <w:sz w:val="21"/>
          <w:szCs w:val="21"/>
          <w:shd w:val="clear" w:color="auto" w:fill="auto"/>
        </w:rPr>
        <w:t>3.6 Discussion</w:t>
      </w:r>
      <w:r>
        <w:rPr>
          <w:sz w:val="21"/>
          <w:szCs w:val="21"/>
        </w:rPr>
        <w:tab/>
      </w:r>
      <w:r>
        <w:rPr>
          <w:sz w:val="21"/>
          <w:szCs w:val="21"/>
        </w:rPr>
        <w:fldChar w:fldCharType="begin"/>
      </w:r>
      <w:r>
        <w:rPr>
          <w:sz w:val="21"/>
          <w:szCs w:val="21"/>
        </w:rPr>
        <w:instrText xml:space="preserve"> PAGEREF _Toc14575 \h </w:instrText>
      </w:r>
      <w:r>
        <w:rPr>
          <w:sz w:val="21"/>
          <w:szCs w:val="21"/>
        </w:rPr>
        <w:fldChar w:fldCharType="separate"/>
      </w:r>
      <w:r>
        <w:rPr>
          <w:sz w:val="21"/>
          <w:szCs w:val="21"/>
        </w:rPr>
        <w:t>9</w:t>
      </w:r>
      <w:r>
        <w:rPr>
          <w:sz w:val="21"/>
          <w:szCs w:val="21"/>
        </w:rPr>
        <w:fldChar w:fldCharType="end"/>
      </w:r>
      <w:r>
        <w:rPr>
          <w:sz w:val="21"/>
          <w:szCs w:val="21"/>
        </w:rPr>
        <w:fldChar w:fldCharType="end"/>
      </w:r>
    </w:p>
    <w:p w14:paraId="6E9A575D">
      <w:pPr>
        <w:pStyle w:val="13"/>
        <w:tabs>
          <w:tab w:val="right" w:leader="dot" w:pos="8306"/>
        </w:tabs>
        <w:rPr>
          <w:sz w:val="21"/>
          <w:szCs w:val="21"/>
        </w:rPr>
      </w:pPr>
      <w:r>
        <w:rPr>
          <w:sz w:val="21"/>
          <w:szCs w:val="21"/>
        </w:rPr>
        <w:fldChar w:fldCharType="begin"/>
      </w:r>
      <w:r>
        <w:rPr>
          <w:sz w:val="21"/>
          <w:szCs w:val="21"/>
        </w:rPr>
        <w:instrText xml:space="preserve"> HYPERLINK \l _Toc321 </w:instrText>
      </w:r>
      <w:r>
        <w:rPr>
          <w:sz w:val="21"/>
          <w:szCs w:val="21"/>
        </w:rPr>
        <w:fldChar w:fldCharType="separate"/>
      </w:r>
      <w:r>
        <w:rPr>
          <w:rFonts w:hint="default" w:ascii="Arial" w:hAnsi="Arial" w:cs="Arial"/>
          <w:bCs/>
          <w:sz w:val="21"/>
          <w:szCs w:val="22"/>
          <w:shd w:val="clear" w:color="auto" w:fill="auto"/>
        </w:rPr>
        <w:t>4. Integrated Reporting (IR) – Critical Analysis</w:t>
      </w:r>
      <w:r>
        <w:rPr>
          <w:sz w:val="21"/>
          <w:szCs w:val="21"/>
        </w:rPr>
        <w:tab/>
      </w:r>
      <w:r>
        <w:rPr>
          <w:sz w:val="21"/>
          <w:szCs w:val="21"/>
        </w:rPr>
        <w:fldChar w:fldCharType="begin"/>
      </w:r>
      <w:r>
        <w:rPr>
          <w:sz w:val="21"/>
          <w:szCs w:val="21"/>
        </w:rPr>
        <w:instrText xml:space="preserve"> PAGEREF _Toc321 \h </w:instrText>
      </w:r>
      <w:r>
        <w:rPr>
          <w:sz w:val="21"/>
          <w:szCs w:val="21"/>
        </w:rPr>
        <w:fldChar w:fldCharType="separate"/>
      </w:r>
      <w:r>
        <w:rPr>
          <w:sz w:val="21"/>
          <w:szCs w:val="21"/>
        </w:rPr>
        <w:t>9</w:t>
      </w:r>
      <w:r>
        <w:rPr>
          <w:sz w:val="21"/>
          <w:szCs w:val="21"/>
        </w:rPr>
        <w:fldChar w:fldCharType="end"/>
      </w:r>
      <w:r>
        <w:rPr>
          <w:sz w:val="21"/>
          <w:szCs w:val="21"/>
        </w:rPr>
        <w:fldChar w:fldCharType="end"/>
      </w:r>
    </w:p>
    <w:p w14:paraId="562E4F79">
      <w:pPr>
        <w:pStyle w:val="14"/>
        <w:tabs>
          <w:tab w:val="right" w:leader="dot" w:pos="8306"/>
        </w:tabs>
        <w:rPr>
          <w:sz w:val="21"/>
          <w:szCs w:val="21"/>
        </w:rPr>
      </w:pPr>
      <w:r>
        <w:rPr>
          <w:sz w:val="21"/>
          <w:szCs w:val="21"/>
        </w:rPr>
        <w:fldChar w:fldCharType="begin"/>
      </w:r>
      <w:r>
        <w:rPr>
          <w:sz w:val="21"/>
          <w:szCs w:val="21"/>
        </w:rPr>
        <w:instrText xml:space="preserve"> HYPERLINK \l _Toc24826 </w:instrText>
      </w:r>
      <w:r>
        <w:rPr>
          <w:sz w:val="21"/>
          <w:szCs w:val="21"/>
        </w:rPr>
        <w:fldChar w:fldCharType="separate"/>
      </w:r>
      <w:r>
        <w:rPr>
          <w:rFonts w:hint="default" w:ascii="Arial" w:hAnsi="Arial" w:cs="Arial"/>
          <w:sz w:val="21"/>
          <w:szCs w:val="21"/>
          <w:shd w:val="clear" w:color="auto" w:fill="auto"/>
        </w:rPr>
        <w:t>4.1 Introduction to Integrated Reporting</w:t>
      </w:r>
      <w:r>
        <w:rPr>
          <w:sz w:val="21"/>
          <w:szCs w:val="21"/>
        </w:rPr>
        <w:tab/>
      </w:r>
      <w:r>
        <w:rPr>
          <w:sz w:val="21"/>
          <w:szCs w:val="21"/>
        </w:rPr>
        <w:fldChar w:fldCharType="begin"/>
      </w:r>
      <w:r>
        <w:rPr>
          <w:sz w:val="21"/>
          <w:szCs w:val="21"/>
        </w:rPr>
        <w:instrText xml:space="preserve"> PAGEREF _Toc24826 \h </w:instrText>
      </w:r>
      <w:r>
        <w:rPr>
          <w:sz w:val="21"/>
          <w:szCs w:val="21"/>
        </w:rPr>
        <w:fldChar w:fldCharType="separate"/>
      </w:r>
      <w:r>
        <w:rPr>
          <w:sz w:val="21"/>
          <w:szCs w:val="21"/>
        </w:rPr>
        <w:t>9</w:t>
      </w:r>
      <w:r>
        <w:rPr>
          <w:sz w:val="21"/>
          <w:szCs w:val="21"/>
        </w:rPr>
        <w:fldChar w:fldCharType="end"/>
      </w:r>
      <w:r>
        <w:rPr>
          <w:sz w:val="21"/>
          <w:szCs w:val="21"/>
        </w:rPr>
        <w:fldChar w:fldCharType="end"/>
      </w:r>
    </w:p>
    <w:p w14:paraId="4E4B6345">
      <w:pPr>
        <w:pStyle w:val="14"/>
        <w:tabs>
          <w:tab w:val="right" w:leader="dot" w:pos="8306"/>
        </w:tabs>
        <w:rPr>
          <w:sz w:val="21"/>
          <w:szCs w:val="21"/>
        </w:rPr>
      </w:pPr>
      <w:r>
        <w:rPr>
          <w:sz w:val="21"/>
          <w:szCs w:val="21"/>
        </w:rPr>
        <w:fldChar w:fldCharType="begin"/>
      </w:r>
      <w:r>
        <w:rPr>
          <w:sz w:val="21"/>
          <w:szCs w:val="21"/>
        </w:rPr>
        <w:instrText xml:space="preserve"> HYPERLINK \l _Toc23149 </w:instrText>
      </w:r>
      <w:r>
        <w:rPr>
          <w:sz w:val="21"/>
          <w:szCs w:val="21"/>
        </w:rPr>
        <w:fldChar w:fldCharType="separate"/>
      </w:r>
      <w:r>
        <w:rPr>
          <w:rFonts w:hint="default" w:ascii="Arial" w:hAnsi="Arial" w:cs="Arial"/>
          <w:sz w:val="21"/>
          <w:szCs w:val="21"/>
          <w:shd w:val="clear" w:color="auto" w:fill="auto"/>
        </w:rPr>
        <w:t>4.2 Benefits of Adopting Integrated Reporting at Adidas</w:t>
      </w:r>
      <w:r>
        <w:rPr>
          <w:sz w:val="21"/>
          <w:szCs w:val="21"/>
        </w:rPr>
        <w:tab/>
      </w:r>
      <w:r>
        <w:rPr>
          <w:sz w:val="21"/>
          <w:szCs w:val="21"/>
        </w:rPr>
        <w:fldChar w:fldCharType="begin"/>
      </w:r>
      <w:r>
        <w:rPr>
          <w:sz w:val="21"/>
          <w:szCs w:val="21"/>
        </w:rPr>
        <w:instrText xml:space="preserve"> PAGEREF _Toc23149 \h </w:instrText>
      </w:r>
      <w:r>
        <w:rPr>
          <w:sz w:val="21"/>
          <w:szCs w:val="21"/>
        </w:rPr>
        <w:fldChar w:fldCharType="separate"/>
      </w:r>
      <w:r>
        <w:rPr>
          <w:sz w:val="21"/>
          <w:szCs w:val="21"/>
        </w:rPr>
        <w:t>10</w:t>
      </w:r>
      <w:r>
        <w:rPr>
          <w:sz w:val="21"/>
          <w:szCs w:val="21"/>
        </w:rPr>
        <w:fldChar w:fldCharType="end"/>
      </w:r>
      <w:r>
        <w:rPr>
          <w:sz w:val="21"/>
          <w:szCs w:val="21"/>
        </w:rPr>
        <w:fldChar w:fldCharType="end"/>
      </w:r>
    </w:p>
    <w:p w14:paraId="1C5814F5">
      <w:pPr>
        <w:pStyle w:val="14"/>
        <w:tabs>
          <w:tab w:val="right" w:leader="dot" w:pos="8306"/>
        </w:tabs>
        <w:rPr>
          <w:sz w:val="21"/>
          <w:szCs w:val="21"/>
        </w:rPr>
      </w:pPr>
      <w:r>
        <w:rPr>
          <w:sz w:val="21"/>
          <w:szCs w:val="21"/>
        </w:rPr>
        <w:fldChar w:fldCharType="begin"/>
      </w:r>
      <w:r>
        <w:rPr>
          <w:sz w:val="21"/>
          <w:szCs w:val="21"/>
        </w:rPr>
        <w:instrText xml:space="preserve"> HYPERLINK \l _Toc7212 </w:instrText>
      </w:r>
      <w:r>
        <w:rPr>
          <w:sz w:val="21"/>
          <w:szCs w:val="21"/>
        </w:rPr>
        <w:fldChar w:fldCharType="separate"/>
      </w:r>
      <w:r>
        <w:rPr>
          <w:rFonts w:hint="default" w:ascii="Arial" w:hAnsi="Arial" w:cs="Arial"/>
          <w:sz w:val="21"/>
          <w:szCs w:val="21"/>
          <w:shd w:val="clear" w:color="auto" w:fill="auto"/>
        </w:rPr>
        <w:t>4.3 Challenges of Implementing Integrated Reporting at Adidas</w:t>
      </w:r>
      <w:r>
        <w:rPr>
          <w:sz w:val="21"/>
          <w:szCs w:val="21"/>
        </w:rPr>
        <w:tab/>
      </w:r>
      <w:r>
        <w:rPr>
          <w:sz w:val="21"/>
          <w:szCs w:val="21"/>
        </w:rPr>
        <w:fldChar w:fldCharType="begin"/>
      </w:r>
      <w:r>
        <w:rPr>
          <w:sz w:val="21"/>
          <w:szCs w:val="21"/>
        </w:rPr>
        <w:instrText xml:space="preserve"> PAGEREF _Toc7212 \h </w:instrText>
      </w:r>
      <w:r>
        <w:rPr>
          <w:sz w:val="21"/>
          <w:szCs w:val="21"/>
        </w:rPr>
        <w:fldChar w:fldCharType="separate"/>
      </w:r>
      <w:r>
        <w:rPr>
          <w:sz w:val="21"/>
          <w:szCs w:val="21"/>
        </w:rPr>
        <w:t>11</w:t>
      </w:r>
      <w:r>
        <w:rPr>
          <w:sz w:val="21"/>
          <w:szCs w:val="21"/>
        </w:rPr>
        <w:fldChar w:fldCharType="end"/>
      </w:r>
      <w:r>
        <w:rPr>
          <w:sz w:val="21"/>
          <w:szCs w:val="21"/>
        </w:rPr>
        <w:fldChar w:fldCharType="end"/>
      </w:r>
    </w:p>
    <w:p w14:paraId="156909DE">
      <w:pPr>
        <w:pStyle w:val="14"/>
        <w:tabs>
          <w:tab w:val="right" w:leader="dot" w:pos="8306"/>
        </w:tabs>
        <w:rPr>
          <w:sz w:val="21"/>
          <w:szCs w:val="21"/>
        </w:rPr>
      </w:pPr>
      <w:r>
        <w:rPr>
          <w:sz w:val="21"/>
          <w:szCs w:val="21"/>
        </w:rPr>
        <w:fldChar w:fldCharType="begin"/>
      </w:r>
      <w:r>
        <w:rPr>
          <w:sz w:val="21"/>
          <w:szCs w:val="21"/>
        </w:rPr>
        <w:instrText xml:space="preserve"> HYPERLINK \l _Toc9431 </w:instrText>
      </w:r>
      <w:r>
        <w:rPr>
          <w:sz w:val="21"/>
          <w:szCs w:val="21"/>
        </w:rPr>
        <w:fldChar w:fldCharType="separate"/>
      </w:r>
      <w:r>
        <w:rPr>
          <w:rFonts w:hint="default" w:ascii="Arial" w:hAnsi="Arial" w:cs="Arial"/>
          <w:sz w:val="21"/>
          <w:szCs w:val="21"/>
          <w:shd w:val="clear" w:color="auto" w:fill="auto"/>
        </w:rPr>
        <w:t>4.4 Application of the &lt;IR&gt; Framework at Adidas</w:t>
      </w:r>
      <w:r>
        <w:rPr>
          <w:sz w:val="21"/>
          <w:szCs w:val="21"/>
        </w:rPr>
        <w:tab/>
      </w:r>
      <w:r>
        <w:rPr>
          <w:sz w:val="21"/>
          <w:szCs w:val="21"/>
        </w:rPr>
        <w:fldChar w:fldCharType="begin"/>
      </w:r>
      <w:r>
        <w:rPr>
          <w:sz w:val="21"/>
          <w:szCs w:val="21"/>
        </w:rPr>
        <w:instrText xml:space="preserve"> PAGEREF _Toc9431 \h </w:instrText>
      </w:r>
      <w:r>
        <w:rPr>
          <w:sz w:val="21"/>
          <w:szCs w:val="21"/>
        </w:rPr>
        <w:fldChar w:fldCharType="separate"/>
      </w:r>
      <w:r>
        <w:rPr>
          <w:sz w:val="21"/>
          <w:szCs w:val="21"/>
        </w:rPr>
        <w:t>12</w:t>
      </w:r>
      <w:r>
        <w:rPr>
          <w:sz w:val="21"/>
          <w:szCs w:val="21"/>
        </w:rPr>
        <w:fldChar w:fldCharType="end"/>
      </w:r>
      <w:r>
        <w:rPr>
          <w:sz w:val="21"/>
          <w:szCs w:val="21"/>
        </w:rPr>
        <w:fldChar w:fldCharType="end"/>
      </w:r>
    </w:p>
    <w:p w14:paraId="60B89E21">
      <w:pPr>
        <w:pStyle w:val="14"/>
        <w:tabs>
          <w:tab w:val="right" w:leader="dot" w:pos="8306"/>
        </w:tabs>
        <w:rPr>
          <w:sz w:val="21"/>
          <w:szCs w:val="21"/>
        </w:rPr>
      </w:pPr>
      <w:r>
        <w:rPr>
          <w:sz w:val="21"/>
          <w:szCs w:val="21"/>
        </w:rPr>
        <w:fldChar w:fldCharType="begin"/>
      </w:r>
      <w:r>
        <w:rPr>
          <w:sz w:val="21"/>
          <w:szCs w:val="21"/>
        </w:rPr>
        <w:instrText xml:space="preserve"> HYPERLINK \l _Toc22673 </w:instrText>
      </w:r>
      <w:r>
        <w:rPr>
          <w:sz w:val="21"/>
          <w:szCs w:val="21"/>
        </w:rPr>
        <w:fldChar w:fldCharType="separate"/>
      </w:r>
      <w:r>
        <w:rPr>
          <w:rFonts w:hint="default" w:ascii="Arial" w:hAnsi="Arial" w:cs="Arial"/>
          <w:sz w:val="21"/>
          <w:szCs w:val="21"/>
          <w:shd w:val="clear" w:color="auto" w:fill="auto"/>
        </w:rPr>
        <w:t>4.5 Academic Support and Future Outlook</w:t>
      </w:r>
      <w:r>
        <w:rPr>
          <w:sz w:val="21"/>
          <w:szCs w:val="21"/>
        </w:rPr>
        <w:tab/>
      </w:r>
      <w:r>
        <w:rPr>
          <w:sz w:val="21"/>
          <w:szCs w:val="21"/>
        </w:rPr>
        <w:fldChar w:fldCharType="begin"/>
      </w:r>
      <w:r>
        <w:rPr>
          <w:sz w:val="21"/>
          <w:szCs w:val="21"/>
        </w:rPr>
        <w:instrText xml:space="preserve"> PAGEREF _Toc22673 \h </w:instrText>
      </w:r>
      <w:r>
        <w:rPr>
          <w:sz w:val="21"/>
          <w:szCs w:val="21"/>
        </w:rPr>
        <w:fldChar w:fldCharType="separate"/>
      </w:r>
      <w:r>
        <w:rPr>
          <w:sz w:val="21"/>
          <w:szCs w:val="21"/>
        </w:rPr>
        <w:t>12</w:t>
      </w:r>
      <w:r>
        <w:rPr>
          <w:sz w:val="21"/>
          <w:szCs w:val="21"/>
        </w:rPr>
        <w:fldChar w:fldCharType="end"/>
      </w:r>
      <w:r>
        <w:rPr>
          <w:sz w:val="21"/>
          <w:szCs w:val="21"/>
        </w:rPr>
        <w:fldChar w:fldCharType="end"/>
      </w:r>
    </w:p>
    <w:p w14:paraId="055A0571">
      <w:pPr>
        <w:pStyle w:val="14"/>
        <w:tabs>
          <w:tab w:val="right" w:leader="dot" w:pos="8306"/>
        </w:tabs>
        <w:rPr>
          <w:sz w:val="21"/>
          <w:szCs w:val="21"/>
        </w:rPr>
      </w:pPr>
      <w:r>
        <w:rPr>
          <w:sz w:val="21"/>
          <w:szCs w:val="21"/>
        </w:rPr>
        <w:fldChar w:fldCharType="begin"/>
      </w:r>
      <w:r>
        <w:rPr>
          <w:sz w:val="21"/>
          <w:szCs w:val="21"/>
        </w:rPr>
        <w:instrText xml:space="preserve"> HYPERLINK \l _Toc28131 </w:instrText>
      </w:r>
      <w:r>
        <w:rPr>
          <w:sz w:val="21"/>
          <w:szCs w:val="21"/>
        </w:rPr>
        <w:fldChar w:fldCharType="separate"/>
      </w:r>
      <w:r>
        <w:rPr>
          <w:rFonts w:hint="default" w:ascii="Arial" w:hAnsi="Arial" w:cs="Arial"/>
          <w:sz w:val="21"/>
          <w:szCs w:val="21"/>
          <w:shd w:val="clear" w:color="auto" w:fill="auto"/>
        </w:rPr>
        <w:t>4.6 Summary</w:t>
      </w:r>
      <w:r>
        <w:rPr>
          <w:sz w:val="21"/>
          <w:szCs w:val="21"/>
        </w:rPr>
        <w:tab/>
      </w:r>
      <w:r>
        <w:rPr>
          <w:sz w:val="21"/>
          <w:szCs w:val="21"/>
        </w:rPr>
        <w:fldChar w:fldCharType="begin"/>
      </w:r>
      <w:r>
        <w:rPr>
          <w:sz w:val="21"/>
          <w:szCs w:val="21"/>
        </w:rPr>
        <w:instrText xml:space="preserve"> PAGEREF _Toc28131 \h </w:instrText>
      </w:r>
      <w:r>
        <w:rPr>
          <w:sz w:val="21"/>
          <w:szCs w:val="21"/>
        </w:rPr>
        <w:fldChar w:fldCharType="separate"/>
      </w:r>
      <w:r>
        <w:rPr>
          <w:sz w:val="21"/>
          <w:szCs w:val="21"/>
        </w:rPr>
        <w:t>13</w:t>
      </w:r>
      <w:r>
        <w:rPr>
          <w:sz w:val="21"/>
          <w:szCs w:val="21"/>
        </w:rPr>
        <w:fldChar w:fldCharType="end"/>
      </w:r>
      <w:r>
        <w:rPr>
          <w:sz w:val="21"/>
          <w:szCs w:val="21"/>
        </w:rPr>
        <w:fldChar w:fldCharType="end"/>
      </w:r>
    </w:p>
    <w:p w14:paraId="0988B3CD">
      <w:pPr>
        <w:pStyle w:val="13"/>
        <w:tabs>
          <w:tab w:val="right" w:leader="dot" w:pos="8306"/>
        </w:tabs>
        <w:rPr>
          <w:sz w:val="21"/>
          <w:szCs w:val="21"/>
        </w:rPr>
      </w:pPr>
      <w:r>
        <w:rPr>
          <w:sz w:val="21"/>
          <w:szCs w:val="21"/>
        </w:rPr>
        <w:fldChar w:fldCharType="begin"/>
      </w:r>
      <w:r>
        <w:rPr>
          <w:sz w:val="21"/>
          <w:szCs w:val="21"/>
        </w:rPr>
        <w:instrText xml:space="preserve"> HYPERLINK \l _Toc3932 </w:instrText>
      </w:r>
      <w:r>
        <w:rPr>
          <w:sz w:val="21"/>
          <w:szCs w:val="21"/>
        </w:rPr>
        <w:fldChar w:fldCharType="separate"/>
      </w:r>
      <w:r>
        <w:rPr>
          <w:rFonts w:hint="default" w:ascii="Arial" w:hAnsi="Arial" w:cs="Arial"/>
          <w:bCs/>
          <w:sz w:val="21"/>
          <w:szCs w:val="22"/>
          <w:shd w:val="clear" w:color="auto" w:fill="auto"/>
        </w:rPr>
        <w:t>5. Conclusion</w:t>
      </w:r>
      <w:r>
        <w:rPr>
          <w:sz w:val="21"/>
          <w:szCs w:val="21"/>
        </w:rPr>
        <w:tab/>
      </w:r>
      <w:r>
        <w:rPr>
          <w:sz w:val="21"/>
          <w:szCs w:val="21"/>
        </w:rPr>
        <w:fldChar w:fldCharType="begin"/>
      </w:r>
      <w:r>
        <w:rPr>
          <w:sz w:val="21"/>
          <w:szCs w:val="21"/>
        </w:rPr>
        <w:instrText xml:space="preserve"> PAGEREF _Toc3932 \h </w:instrText>
      </w:r>
      <w:r>
        <w:rPr>
          <w:sz w:val="21"/>
          <w:szCs w:val="21"/>
        </w:rPr>
        <w:fldChar w:fldCharType="separate"/>
      </w:r>
      <w:r>
        <w:rPr>
          <w:sz w:val="21"/>
          <w:szCs w:val="21"/>
        </w:rPr>
        <w:t>13</w:t>
      </w:r>
      <w:r>
        <w:rPr>
          <w:sz w:val="21"/>
          <w:szCs w:val="21"/>
        </w:rPr>
        <w:fldChar w:fldCharType="end"/>
      </w:r>
      <w:r>
        <w:rPr>
          <w:sz w:val="21"/>
          <w:szCs w:val="21"/>
        </w:rPr>
        <w:fldChar w:fldCharType="end"/>
      </w:r>
    </w:p>
    <w:p w14:paraId="5D92EFEF">
      <w:pPr>
        <w:pStyle w:val="13"/>
        <w:tabs>
          <w:tab w:val="right" w:leader="dot" w:pos="8306"/>
        </w:tabs>
        <w:rPr>
          <w:sz w:val="21"/>
          <w:szCs w:val="21"/>
        </w:rPr>
      </w:pPr>
      <w:r>
        <w:rPr>
          <w:sz w:val="21"/>
          <w:szCs w:val="21"/>
        </w:rPr>
        <w:fldChar w:fldCharType="begin"/>
      </w:r>
      <w:r>
        <w:rPr>
          <w:sz w:val="21"/>
          <w:szCs w:val="21"/>
        </w:rPr>
        <w:instrText xml:space="preserve"> HYPERLINK \l _Toc28115 </w:instrText>
      </w:r>
      <w:r>
        <w:rPr>
          <w:sz w:val="21"/>
          <w:szCs w:val="21"/>
        </w:rPr>
        <w:fldChar w:fldCharType="separate"/>
      </w:r>
      <w:r>
        <w:rPr>
          <w:rFonts w:hint="default" w:ascii="Arial" w:hAnsi="Arial" w:cs="Arial"/>
          <w:bCs/>
          <w:sz w:val="21"/>
          <w:szCs w:val="21"/>
          <w:shd w:val="clear" w:color="auto" w:fill="auto"/>
        </w:rPr>
        <w:t>References</w:t>
      </w:r>
      <w:r>
        <w:rPr>
          <w:sz w:val="21"/>
          <w:szCs w:val="21"/>
        </w:rPr>
        <w:tab/>
      </w:r>
      <w:r>
        <w:rPr>
          <w:sz w:val="21"/>
          <w:szCs w:val="21"/>
        </w:rPr>
        <w:fldChar w:fldCharType="begin"/>
      </w:r>
      <w:r>
        <w:rPr>
          <w:sz w:val="21"/>
          <w:szCs w:val="21"/>
        </w:rPr>
        <w:instrText xml:space="preserve"> PAGEREF _Toc28115 \h </w:instrText>
      </w:r>
      <w:r>
        <w:rPr>
          <w:sz w:val="21"/>
          <w:szCs w:val="21"/>
        </w:rPr>
        <w:fldChar w:fldCharType="separate"/>
      </w:r>
      <w:r>
        <w:rPr>
          <w:sz w:val="21"/>
          <w:szCs w:val="21"/>
        </w:rPr>
        <w:t>14</w:t>
      </w:r>
      <w:r>
        <w:rPr>
          <w:sz w:val="21"/>
          <w:szCs w:val="21"/>
        </w:rPr>
        <w:fldChar w:fldCharType="end"/>
      </w:r>
      <w:r>
        <w:rPr>
          <w:sz w:val="21"/>
          <w:szCs w:val="21"/>
        </w:rPr>
        <w:fldChar w:fldCharType="end"/>
      </w:r>
    </w:p>
    <w:p w14:paraId="6C826A21">
      <w:pPr>
        <w:pStyle w:val="13"/>
        <w:tabs>
          <w:tab w:val="right" w:leader="dot" w:pos="8306"/>
        </w:tabs>
        <w:rPr>
          <w:sz w:val="21"/>
          <w:szCs w:val="21"/>
        </w:rPr>
      </w:pPr>
      <w:r>
        <w:rPr>
          <w:sz w:val="21"/>
          <w:szCs w:val="21"/>
        </w:rPr>
        <w:fldChar w:fldCharType="begin"/>
      </w:r>
      <w:r>
        <w:rPr>
          <w:sz w:val="21"/>
          <w:szCs w:val="21"/>
        </w:rPr>
        <w:instrText xml:space="preserve"> HYPERLINK \l _Toc5181 </w:instrText>
      </w:r>
      <w:r>
        <w:rPr>
          <w:sz w:val="21"/>
          <w:szCs w:val="21"/>
        </w:rPr>
        <w:fldChar w:fldCharType="separate"/>
      </w:r>
      <w:r>
        <w:rPr>
          <w:rFonts w:hint="default" w:ascii="Arial" w:hAnsi="Arial" w:cs="Arial"/>
          <w:bCs/>
          <w:sz w:val="21"/>
          <w:szCs w:val="22"/>
          <w:shd w:val="clear" w:color="auto" w:fill="auto"/>
        </w:rPr>
        <w:t>Appendix</w:t>
      </w:r>
      <w:r>
        <w:rPr>
          <w:sz w:val="21"/>
          <w:szCs w:val="21"/>
        </w:rPr>
        <w:tab/>
      </w:r>
      <w:r>
        <w:rPr>
          <w:sz w:val="21"/>
          <w:szCs w:val="21"/>
        </w:rPr>
        <w:fldChar w:fldCharType="begin"/>
      </w:r>
      <w:r>
        <w:rPr>
          <w:sz w:val="21"/>
          <w:szCs w:val="21"/>
        </w:rPr>
        <w:instrText xml:space="preserve"> PAGEREF _Toc5181 \h </w:instrText>
      </w:r>
      <w:r>
        <w:rPr>
          <w:sz w:val="21"/>
          <w:szCs w:val="21"/>
        </w:rPr>
        <w:fldChar w:fldCharType="separate"/>
      </w:r>
      <w:r>
        <w:rPr>
          <w:sz w:val="21"/>
          <w:szCs w:val="21"/>
        </w:rPr>
        <w:t>15</w:t>
      </w:r>
      <w:r>
        <w:rPr>
          <w:sz w:val="21"/>
          <w:szCs w:val="21"/>
        </w:rPr>
        <w:fldChar w:fldCharType="end"/>
      </w:r>
      <w:r>
        <w:rPr>
          <w:sz w:val="21"/>
          <w:szCs w:val="21"/>
        </w:rPr>
        <w:fldChar w:fldCharType="end"/>
      </w:r>
    </w:p>
    <w:p w14:paraId="5C1DCD40">
      <w:pPr>
        <w:pStyle w:val="14"/>
        <w:tabs>
          <w:tab w:val="right" w:leader="dot" w:pos="8306"/>
        </w:tabs>
        <w:rPr>
          <w:sz w:val="21"/>
          <w:szCs w:val="21"/>
        </w:rPr>
      </w:pPr>
      <w:r>
        <w:rPr>
          <w:sz w:val="21"/>
          <w:szCs w:val="21"/>
        </w:rPr>
        <w:fldChar w:fldCharType="begin"/>
      </w:r>
      <w:r>
        <w:rPr>
          <w:sz w:val="21"/>
          <w:szCs w:val="21"/>
        </w:rPr>
        <w:instrText xml:space="preserve"> HYPERLINK \l _Toc31806 </w:instrText>
      </w:r>
      <w:r>
        <w:rPr>
          <w:sz w:val="21"/>
          <w:szCs w:val="21"/>
        </w:rPr>
        <w:fldChar w:fldCharType="separate"/>
      </w:r>
      <w:r>
        <w:rPr>
          <w:rFonts w:hint="default" w:ascii="Arial" w:hAnsi="Arial" w:cs="Arial"/>
          <w:sz w:val="21"/>
          <w:szCs w:val="21"/>
          <w:shd w:val="clear" w:color="auto" w:fill="auto"/>
        </w:rPr>
        <w:t>A. Dummy Financial Statements (Condensed)</w:t>
      </w:r>
      <w:r>
        <w:rPr>
          <w:sz w:val="21"/>
          <w:szCs w:val="21"/>
        </w:rPr>
        <w:tab/>
      </w:r>
      <w:r>
        <w:rPr>
          <w:sz w:val="21"/>
          <w:szCs w:val="21"/>
        </w:rPr>
        <w:fldChar w:fldCharType="begin"/>
      </w:r>
      <w:r>
        <w:rPr>
          <w:sz w:val="21"/>
          <w:szCs w:val="21"/>
        </w:rPr>
        <w:instrText xml:space="preserve"> PAGEREF _Toc31806 \h </w:instrText>
      </w:r>
      <w:r>
        <w:rPr>
          <w:sz w:val="21"/>
          <w:szCs w:val="21"/>
        </w:rPr>
        <w:fldChar w:fldCharType="separate"/>
      </w:r>
      <w:r>
        <w:rPr>
          <w:sz w:val="21"/>
          <w:szCs w:val="21"/>
        </w:rPr>
        <w:t>15</w:t>
      </w:r>
      <w:r>
        <w:rPr>
          <w:sz w:val="21"/>
          <w:szCs w:val="21"/>
        </w:rPr>
        <w:fldChar w:fldCharType="end"/>
      </w:r>
      <w:r>
        <w:rPr>
          <w:sz w:val="21"/>
          <w:szCs w:val="21"/>
        </w:rPr>
        <w:fldChar w:fldCharType="end"/>
      </w:r>
    </w:p>
    <w:p w14:paraId="5D11A694">
      <w:pPr>
        <w:pStyle w:val="14"/>
        <w:tabs>
          <w:tab w:val="right" w:leader="dot" w:pos="8306"/>
        </w:tabs>
      </w:pPr>
      <w:r>
        <w:rPr>
          <w:sz w:val="21"/>
          <w:szCs w:val="21"/>
        </w:rPr>
        <w:fldChar w:fldCharType="begin"/>
      </w:r>
      <w:r>
        <w:rPr>
          <w:sz w:val="21"/>
          <w:szCs w:val="21"/>
        </w:rPr>
        <w:instrText xml:space="preserve"> HYPERLINK \l _Toc4207 </w:instrText>
      </w:r>
      <w:r>
        <w:rPr>
          <w:sz w:val="21"/>
          <w:szCs w:val="21"/>
        </w:rPr>
        <w:fldChar w:fldCharType="separate"/>
      </w:r>
      <w:r>
        <w:rPr>
          <w:rFonts w:hint="default" w:ascii="Arial" w:hAnsi="Arial" w:cs="Arial"/>
          <w:sz w:val="21"/>
          <w:szCs w:val="21"/>
          <w:shd w:val="clear" w:color="auto" w:fill="auto"/>
        </w:rPr>
        <w:t>B. Summary of Key Financial Ratios (2024)</w:t>
      </w:r>
      <w:r>
        <w:rPr>
          <w:sz w:val="21"/>
          <w:szCs w:val="21"/>
        </w:rPr>
        <w:tab/>
      </w:r>
      <w:r>
        <w:rPr>
          <w:sz w:val="21"/>
          <w:szCs w:val="21"/>
        </w:rPr>
        <w:fldChar w:fldCharType="begin"/>
      </w:r>
      <w:r>
        <w:rPr>
          <w:sz w:val="21"/>
          <w:szCs w:val="21"/>
        </w:rPr>
        <w:instrText xml:space="preserve"> PAGEREF _Toc4207 \h </w:instrText>
      </w:r>
      <w:r>
        <w:rPr>
          <w:sz w:val="21"/>
          <w:szCs w:val="21"/>
        </w:rPr>
        <w:fldChar w:fldCharType="separate"/>
      </w:r>
      <w:r>
        <w:rPr>
          <w:sz w:val="21"/>
          <w:szCs w:val="21"/>
        </w:rPr>
        <w:t>16</w:t>
      </w:r>
      <w:r>
        <w:rPr>
          <w:sz w:val="21"/>
          <w:szCs w:val="21"/>
        </w:rPr>
        <w:fldChar w:fldCharType="end"/>
      </w:r>
      <w:r>
        <w:rPr>
          <w:sz w:val="21"/>
          <w:szCs w:val="21"/>
        </w:rPr>
        <w:fldChar w:fldCharType="end"/>
      </w:r>
    </w:p>
    <w:p w14:paraId="55088AD9">
      <w:r>
        <w:fldChar w:fldCharType="end"/>
      </w:r>
    </w:p>
    <w:p w14:paraId="4F8D52C0">
      <w:pPr>
        <w:pStyle w:val="2"/>
        <w:keepNext w:val="0"/>
        <w:keepLines w:val="0"/>
        <w:widowControl/>
        <w:suppressLineNumbers w:val="0"/>
        <w:spacing w:line="360" w:lineRule="auto"/>
        <w:rPr>
          <w:rStyle w:val="10"/>
          <w:rFonts w:hint="default" w:ascii="Arial" w:hAnsi="Arial" w:cs="Arial"/>
          <w:b/>
          <w:bCs/>
          <w:sz w:val="28"/>
          <w:szCs w:val="28"/>
          <w:u w:val="single"/>
          <w:shd w:val="clear" w:color="auto" w:fill="auto"/>
          <w:lang w:val="en-US"/>
        </w:rPr>
      </w:pPr>
      <w:bookmarkStart w:id="0" w:name="_Toc5944"/>
      <w:r>
        <w:rPr>
          <w:rStyle w:val="10"/>
          <w:rFonts w:hint="default" w:ascii="Arial" w:hAnsi="Arial" w:cs="Arial"/>
          <w:b/>
          <w:bCs/>
          <w:sz w:val="28"/>
          <w:szCs w:val="28"/>
          <w:u w:val="single"/>
          <w:shd w:val="clear" w:color="auto" w:fill="auto"/>
          <w:lang w:val="en-US"/>
        </w:rPr>
        <w:t>Financial Performance Management Report</w:t>
      </w:r>
      <w:bookmarkEnd w:id="0"/>
    </w:p>
    <w:p w14:paraId="7FA33EAC">
      <w:pPr>
        <w:pStyle w:val="2"/>
        <w:keepNext w:val="0"/>
        <w:keepLines w:val="0"/>
        <w:widowControl/>
        <w:suppressLineNumbers w:val="0"/>
        <w:spacing w:line="360" w:lineRule="auto"/>
        <w:rPr>
          <w:rFonts w:hint="default" w:ascii="Arial" w:hAnsi="Arial" w:cs="Arial"/>
          <w:sz w:val="24"/>
          <w:szCs w:val="24"/>
          <w:shd w:val="clear" w:color="auto" w:fill="auto"/>
        </w:rPr>
      </w:pPr>
      <w:bookmarkStart w:id="1" w:name="_Toc9726"/>
      <w:r>
        <w:rPr>
          <w:rStyle w:val="10"/>
          <w:rFonts w:hint="default" w:ascii="Arial" w:hAnsi="Arial" w:cs="Arial"/>
          <w:b/>
          <w:bCs/>
          <w:sz w:val="24"/>
          <w:szCs w:val="24"/>
          <w:shd w:val="clear" w:color="auto" w:fill="auto"/>
        </w:rPr>
        <w:t>1. Introduction</w:t>
      </w:r>
      <w:bookmarkEnd w:id="1"/>
    </w:p>
    <w:p w14:paraId="7B0FC4B3">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In an increasingly dynamic and competitive global market, the evaluation of corporate perfo</w:t>
      </w:r>
      <w:bookmarkStart w:id="27" w:name="_GoBack"/>
      <w:bookmarkEnd w:id="27"/>
      <w:r>
        <w:rPr>
          <w:rFonts w:hint="default" w:ascii="Arial" w:hAnsi="Arial" w:cs="Arial"/>
          <w:sz w:val="22"/>
          <w:szCs w:val="22"/>
          <w:shd w:val="clear" w:color="auto" w:fill="auto"/>
        </w:rPr>
        <w:t xml:space="preserve">rmance requires more than a simple review of financial statements. Stakeholders demand deeper insight into a company’s strategic position, financial health, operational efficiency, and long-term sustainability. This report aims to assess and compare the financial and non-financial performance of </w:t>
      </w:r>
      <w:r>
        <w:rPr>
          <w:rStyle w:val="10"/>
          <w:rFonts w:hint="default" w:ascii="Arial" w:hAnsi="Arial" w:cs="Arial"/>
          <w:sz w:val="22"/>
          <w:szCs w:val="22"/>
          <w:shd w:val="clear" w:color="auto" w:fill="auto"/>
        </w:rPr>
        <w:t>Adidas AG</w:t>
      </w:r>
      <w:r>
        <w:rPr>
          <w:rFonts w:hint="default" w:ascii="Arial" w:hAnsi="Arial" w:cs="Arial"/>
          <w:sz w:val="22"/>
          <w:szCs w:val="22"/>
          <w:shd w:val="clear" w:color="auto" w:fill="auto"/>
        </w:rPr>
        <w:t xml:space="preserve">, a global leader in the sportswear industry, and its closest competitor, </w:t>
      </w:r>
      <w:r>
        <w:rPr>
          <w:rStyle w:val="10"/>
          <w:rFonts w:hint="default" w:ascii="Arial" w:hAnsi="Arial" w:cs="Arial"/>
          <w:sz w:val="22"/>
          <w:szCs w:val="22"/>
          <w:shd w:val="clear" w:color="auto" w:fill="auto"/>
        </w:rPr>
        <w:t>Puma SE</w:t>
      </w:r>
      <w:r>
        <w:rPr>
          <w:rFonts w:hint="default" w:ascii="Arial" w:hAnsi="Arial" w:cs="Arial"/>
          <w:sz w:val="22"/>
          <w:szCs w:val="22"/>
          <w:shd w:val="clear" w:color="auto" w:fill="auto"/>
        </w:rPr>
        <w:t>. Both companies are headquartered in Germany and operate extensively across similar markets, making them ideal for comparative analysis.</w:t>
      </w:r>
    </w:p>
    <w:p w14:paraId="68D026C8">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report is structured into three core sections. The first section presents a detailed financial ratio analysis for Adidas and Puma, using example financial data for the years 2023 and 2024. This comparison explores multiple performance dimensions including profitability, liquidity, efficiency, leverage, and market valuation.</w:t>
      </w:r>
    </w:p>
    <w:p w14:paraId="0EAFD89C">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second section offers a critical review of Kaplan and Norton’s Balanced Scorecard (BSC) and proposes a customized BSC for Adidas, identifying strategic objectives and performance indicators aligned with its corporate vision.</w:t>
      </w:r>
    </w:p>
    <w:p w14:paraId="4AE7FDA8">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third section discusses the application of Integrated Reporting (&lt;IR&gt;) at Adidas. It critically examines the benefits and challenges of implementing IR and how it enhances transparency, sustainability, and long-term value creation.</w:t>
      </w:r>
    </w:p>
    <w:p w14:paraId="2BF71129">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Through this multidimensional performance evaluation, the report aims to provide a holistic understanding of Adidas’s performance and strategic capabilities, as well as how it positions itself against a key industry competitor.</w:t>
      </w:r>
    </w:p>
    <w:p w14:paraId="641403B1">
      <w:pPr>
        <w:pStyle w:val="2"/>
        <w:keepNext w:val="0"/>
        <w:keepLines w:val="0"/>
        <w:widowControl/>
        <w:suppressLineNumbers w:val="0"/>
        <w:spacing w:line="360" w:lineRule="auto"/>
        <w:rPr>
          <w:rFonts w:hint="default" w:ascii="Arial" w:hAnsi="Arial" w:cs="Arial"/>
          <w:sz w:val="24"/>
          <w:szCs w:val="24"/>
          <w:shd w:val="clear" w:color="auto" w:fill="auto"/>
        </w:rPr>
      </w:pPr>
      <w:bookmarkStart w:id="2" w:name="_Toc17819"/>
      <w:r>
        <w:rPr>
          <w:rStyle w:val="10"/>
          <w:rFonts w:hint="default" w:ascii="Arial" w:hAnsi="Arial" w:cs="Arial"/>
          <w:b/>
          <w:bCs/>
          <w:sz w:val="24"/>
          <w:szCs w:val="24"/>
          <w:shd w:val="clear" w:color="auto" w:fill="auto"/>
        </w:rPr>
        <w:t>2. Financial Performance using Ratio Analysis</w:t>
      </w:r>
      <w:bookmarkEnd w:id="2"/>
    </w:p>
    <w:p w14:paraId="5DA7C9BA">
      <w:pPr>
        <w:pStyle w:val="3"/>
        <w:keepNext w:val="0"/>
        <w:keepLines w:val="0"/>
        <w:widowControl/>
        <w:suppressLineNumbers w:val="0"/>
        <w:spacing w:line="360" w:lineRule="auto"/>
        <w:rPr>
          <w:rFonts w:hint="default" w:ascii="Arial" w:hAnsi="Arial" w:cs="Arial"/>
          <w:sz w:val="22"/>
          <w:szCs w:val="22"/>
          <w:shd w:val="clear" w:color="auto" w:fill="auto"/>
        </w:rPr>
      </w:pPr>
      <w:bookmarkStart w:id="3" w:name="_Toc32545"/>
      <w:r>
        <w:rPr>
          <w:rFonts w:hint="default" w:ascii="Arial" w:hAnsi="Arial" w:cs="Arial"/>
          <w:sz w:val="22"/>
          <w:szCs w:val="22"/>
          <w:shd w:val="clear" w:color="auto" w:fill="auto"/>
        </w:rPr>
        <w:t>2.1 Company Overview</w:t>
      </w:r>
      <w:bookmarkEnd w:id="3"/>
    </w:p>
    <w:p w14:paraId="37724650">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Adidas AG</w:t>
      </w:r>
      <w:r>
        <w:rPr>
          <w:rFonts w:hint="default" w:ascii="Arial" w:hAnsi="Arial" w:cs="Arial"/>
          <w:sz w:val="22"/>
          <w:szCs w:val="22"/>
          <w:shd w:val="clear" w:color="auto" w:fill="auto"/>
        </w:rPr>
        <w:t xml:space="preserve"> is a multinational corporation designing and manufacturing sportswear, footwear, and accessories. Known for its innovation and strong brand equity, Adidas operates in over 160 countries and employs more than 60,000 people.</w:t>
      </w:r>
      <w:r>
        <w:rPr>
          <w:rFonts w:hint="default" w:ascii="Arial" w:hAnsi="Arial" w:cs="Arial"/>
          <w:sz w:val="22"/>
          <w:szCs w:val="22"/>
          <w:shd w:val="clear" w:color="auto" w:fill="auto"/>
        </w:rPr>
        <w:br w:type="textWrapping"/>
      </w:r>
      <w:r>
        <w:rPr>
          <w:rStyle w:val="10"/>
          <w:rFonts w:hint="default" w:ascii="Arial" w:hAnsi="Arial" w:cs="Arial"/>
          <w:sz w:val="22"/>
          <w:szCs w:val="22"/>
          <w:shd w:val="clear" w:color="auto" w:fill="auto"/>
        </w:rPr>
        <w:t>Puma SE</w:t>
      </w:r>
      <w:r>
        <w:rPr>
          <w:rFonts w:hint="default" w:ascii="Arial" w:hAnsi="Arial" w:cs="Arial"/>
          <w:sz w:val="22"/>
          <w:szCs w:val="22"/>
          <w:shd w:val="clear" w:color="auto" w:fill="auto"/>
        </w:rPr>
        <w:t xml:space="preserve"> is a direct competitor in the same sector. While smaller in scale, Puma has a strong market presence and targets a similar customer base with sports and lifestyle products.</w:t>
      </w:r>
    </w:p>
    <w:p w14:paraId="42015A52">
      <w:pPr>
        <w:pStyle w:val="3"/>
        <w:keepNext w:val="0"/>
        <w:keepLines w:val="0"/>
        <w:widowControl/>
        <w:suppressLineNumbers w:val="0"/>
        <w:spacing w:line="360" w:lineRule="auto"/>
        <w:rPr>
          <w:rFonts w:hint="default" w:ascii="Arial" w:hAnsi="Arial" w:cs="Arial"/>
          <w:sz w:val="22"/>
          <w:szCs w:val="22"/>
          <w:shd w:val="clear" w:color="auto" w:fill="auto"/>
        </w:rPr>
      </w:pPr>
      <w:bookmarkStart w:id="4" w:name="_Toc21740"/>
      <w:r>
        <w:rPr>
          <w:rFonts w:hint="default" w:ascii="Arial" w:hAnsi="Arial" w:cs="Arial"/>
          <w:sz w:val="22"/>
          <w:szCs w:val="22"/>
          <w:shd w:val="clear" w:color="auto" w:fill="auto"/>
        </w:rPr>
        <w:t>2.2 Rationale for Competitor Selection</w:t>
      </w:r>
      <w:bookmarkEnd w:id="4"/>
    </w:p>
    <w:p w14:paraId="2090E955">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Puma SE is selected as the closest competitor due to:</w:t>
      </w:r>
    </w:p>
    <w:p w14:paraId="35A0B7C1">
      <w:pPr>
        <w:pStyle w:val="9"/>
        <w:keepNext w:val="0"/>
        <w:keepLines w:val="0"/>
        <w:widowControl/>
        <w:numPr>
          <w:ilvl w:val="0"/>
          <w:numId w:val="1"/>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Similarity in business model (sports apparel and footwear)</w:t>
      </w:r>
    </w:p>
    <w:p w14:paraId="1D6E5BA7">
      <w:pPr>
        <w:pStyle w:val="9"/>
        <w:keepNext w:val="0"/>
        <w:keepLines w:val="0"/>
        <w:widowControl/>
        <w:numPr>
          <w:ilvl w:val="0"/>
          <w:numId w:val="1"/>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Geographical proximity (both headquartered in Germany)</w:t>
      </w:r>
    </w:p>
    <w:p w14:paraId="6644722E">
      <w:pPr>
        <w:pStyle w:val="9"/>
        <w:keepNext w:val="0"/>
        <w:keepLines w:val="0"/>
        <w:widowControl/>
        <w:numPr>
          <w:ilvl w:val="0"/>
          <w:numId w:val="1"/>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Overlapping product categories and target markets</w:t>
      </w:r>
    </w:p>
    <w:p w14:paraId="7629B7AE">
      <w:pPr>
        <w:pStyle w:val="9"/>
        <w:keepNext w:val="0"/>
        <w:keepLines w:val="0"/>
        <w:widowControl/>
        <w:numPr>
          <w:ilvl w:val="0"/>
          <w:numId w:val="1"/>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Comparable financial scale (though Adidas is larger)</w:t>
      </w:r>
    </w:p>
    <w:p w14:paraId="4863E858">
      <w:pPr>
        <w:pStyle w:val="3"/>
        <w:keepNext w:val="0"/>
        <w:keepLines w:val="0"/>
        <w:widowControl/>
        <w:suppressLineNumbers w:val="0"/>
        <w:spacing w:line="360" w:lineRule="auto"/>
        <w:rPr>
          <w:rFonts w:hint="default" w:ascii="Arial" w:hAnsi="Arial" w:cs="Arial"/>
          <w:sz w:val="22"/>
          <w:szCs w:val="22"/>
          <w:shd w:val="clear" w:color="auto" w:fill="auto"/>
        </w:rPr>
      </w:pPr>
      <w:bookmarkStart w:id="5" w:name="_Toc10793"/>
      <w:r>
        <w:rPr>
          <w:rFonts w:hint="default" w:ascii="Arial" w:hAnsi="Arial" w:cs="Arial"/>
          <w:sz w:val="22"/>
          <w:szCs w:val="22"/>
          <w:shd w:val="clear" w:color="auto" w:fill="auto"/>
        </w:rPr>
        <w:t>2.3 Dummy Financial Data (in € millions)</w:t>
      </w:r>
      <w:bookmarkEnd w:id="5"/>
    </w:p>
    <w:tbl>
      <w:tblPr>
        <w:tblStyle w:val="11"/>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1"/>
        <w:gridCol w:w="1514"/>
        <w:gridCol w:w="1514"/>
        <w:gridCol w:w="1362"/>
        <w:gridCol w:w="1378"/>
      </w:tblGrid>
      <w:tr w14:paraId="62AB6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2951" w:type="dxa"/>
            <w:shd w:val="clear" w:color="auto" w:fill="auto"/>
            <w:vAlign w:val="center"/>
          </w:tcPr>
          <w:p w14:paraId="13089548">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Metric</w:t>
            </w:r>
          </w:p>
        </w:tc>
        <w:tc>
          <w:tcPr>
            <w:tcW w:w="1514" w:type="dxa"/>
            <w:shd w:val="clear" w:color="auto" w:fill="auto"/>
            <w:vAlign w:val="center"/>
          </w:tcPr>
          <w:p w14:paraId="474ED1AE">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2023</w:t>
            </w:r>
          </w:p>
        </w:tc>
        <w:tc>
          <w:tcPr>
            <w:tcW w:w="1514" w:type="dxa"/>
            <w:shd w:val="clear" w:color="auto" w:fill="auto"/>
            <w:vAlign w:val="center"/>
          </w:tcPr>
          <w:p w14:paraId="52950B8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362" w:type="dxa"/>
            <w:shd w:val="clear" w:color="auto" w:fill="auto"/>
            <w:vAlign w:val="center"/>
          </w:tcPr>
          <w:p w14:paraId="1C126F5F">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2023</w:t>
            </w:r>
          </w:p>
        </w:tc>
        <w:tc>
          <w:tcPr>
            <w:tcW w:w="1378" w:type="dxa"/>
            <w:shd w:val="clear" w:color="auto" w:fill="auto"/>
            <w:vAlign w:val="center"/>
          </w:tcPr>
          <w:p w14:paraId="6D800E17">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762FB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4775C0A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w:t>
            </w:r>
          </w:p>
        </w:tc>
        <w:tc>
          <w:tcPr>
            <w:tcW w:w="1514" w:type="dxa"/>
            <w:shd w:val="clear" w:color="auto" w:fill="auto"/>
            <w:vAlign w:val="center"/>
          </w:tcPr>
          <w:p w14:paraId="438B31F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22,000</w:t>
            </w:r>
          </w:p>
        </w:tc>
        <w:tc>
          <w:tcPr>
            <w:tcW w:w="1514" w:type="dxa"/>
            <w:shd w:val="clear" w:color="auto" w:fill="auto"/>
            <w:vAlign w:val="center"/>
          </w:tcPr>
          <w:p w14:paraId="3889DE3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24,000</w:t>
            </w:r>
          </w:p>
        </w:tc>
        <w:tc>
          <w:tcPr>
            <w:tcW w:w="1362" w:type="dxa"/>
            <w:shd w:val="clear" w:color="auto" w:fill="auto"/>
            <w:vAlign w:val="center"/>
          </w:tcPr>
          <w:p w14:paraId="1369805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9,000</w:t>
            </w:r>
          </w:p>
        </w:tc>
        <w:tc>
          <w:tcPr>
            <w:tcW w:w="1378" w:type="dxa"/>
            <w:shd w:val="clear" w:color="auto" w:fill="auto"/>
            <w:vAlign w:val="center"/>
          </w:tcPr>
          <w:p w14:paraId="3DD5102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9,800</w:t>
            </w:r>
          </w:p>
        </w:tc>
      </w:tr>
      <w:tr w14:paraId="20F6F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75A3F14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w:t>
            </w:r>
          </w:p>
        </w:tc>
        <w:tc>
          <w:tcPr>
            <w:tcW w:w="1514" w:type="dxa"/>
            <w:shd w:val="clear" w:color="auto" w:fill="auto"/>
            <w:vAlign w:val="center"/>
          </w:tcPr>
          <w:p w14:paraId="3A4BD08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w:t>
            </w:r>
          </w:p>
        </w:tc>
        <w:tc>
          <w:tcPr>
            <w:tcW w:w="1514" w:type="dxa"/>
            <w:shd w:val="clear" w:color="auto" w:fill="auto"/>
            <w:vAlign w:val="center"/>
          </w:tcPr>
          <w:p w14:paraId="69132E9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2,400</w:t>
            </w:r>
          </w:p>
        </w:tc>
        <w:tc>
          <w:tcPr>
            <w:tcW w:w="1362" w:type="dxa"/>
            <w:shd w:val="clear" w:color="auto" w:fill="auto"/>
            <w:vAlign w:val="center"/>
          </w:tcPr>
          <w:p w14:paraId="7688826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700</w:t>
            </w:r>
          </w:p>
        </w:tc>
        <w:tc>
          <w:tcPr>
            <w:tcW w:w="1378" w:type="dxa"/>
            <w:shd w:val="clear" w:color="auto" w:fill="auto"/>
            <w:vAlign w:val="center"/>
          </w:tcPr>
          <w:p w14:paraId="3B494AC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750</w:t>
            </w:r>
          </w:p>
        </w:tc>
      </w:tr>
      <w:tr w14:paraId="52190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trPr>
        <w:tc>
          <w:tcPr>
            <w:tcW w:w="2951" w:type="dxa"/>
            <w:shd w:val="clear" w:color="auto" w:fill="auto"/>
            <w:vAlign w:val="center"/>
          </w:tcPr>
          <w:p w14:paraId="4ACE86D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Assets</w:t>
            </w:r>
          </w:p>
        </w:tc>
        <w:tc>
          <w:tcPr>
            <w:tcW w:w="1514" w:type="dxa"/>
            <w:shd w:val="clear" w:color="auto" w:fill="auto"/>
            <w:vAlign w:val="center"/>
          </w:tcPr>
          <w:p w14:paraId="5369206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7,000</w:t>
            </w:r>
          </w:p>
        </w:tc>
        <w:tc>
          <w:tcPr>
            <w:tcW w:w="1514" w:type="dxa"/>
            <w:shd w:val="clear" w:color="auto" w:fill="auto"/>
            <w:vAlign w:val="center"/>
          </w:tcPr>
          <w:p w14:paraId="61141FD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7,500</w:t>
            </w:r>
          </w:p>
        </w:tc>
        <w:tc>
          <w:tcPr>
            <w:tcW w:w="1362" w:type="dxa"/>
            <w:shd w:val="clear" w:color="auto" w:fill="auto"/>
            <w:vAlign w:val="center"/>
          </w:tcPr>
          <w:p w14:paraId="4F79868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2,800</w:t>
            </w:r>
          </w:p>
        </w:tc>
        <w:tc>
          <w:tcPr>
            <w:tcW w:w="1378" w:type="dxa"/>
            <w:shd w:val="clear" w:color="auto" w:fill="auto"/>
            <w:vAlign w:val="center"/>
          </w:tcPr>
          <w:p w14:paraId="2465CEB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3,100</w:t>
            </w:r>
          </w:p>
        </w:tc>
      </w:tr>
      <w:tr w14:paraId="77F50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725B932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Liabilities</w:t>
            </w:r>
          </w:p>
        </w:tc>
        <w:tc>
          <w:tcPr>
            <w:tcW w:w="1514" w:type="dxa"/>
            <w:shd w:val="clear" w:color="auto" w:fill="auto"/>
            <w:vAlign w:val="center"/>
          </w:tcPr>
          <w:p w14:paraId="40A9C14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4,000</w:t>
            </w:r>
          </w:p>
        </w:tc>
        <w:tc>
          <w:tcPr>
            <w:tcW w:w="1514" w:type="dxa"/>
            <w:shd w:val="clear" w:color="auto" w:fill="auto"/>
            <w:vAlign w:val="center"/>
          </w:tcPr>
          <w:p w14:paraId="5D671AA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4,300</w:t>
            </w:r>
          </w:p>
        </w:tc>
        <w:tc>
          <w:tcPr>
            <w:tcW w:w="1362" w:type="dxa"/>
            <w:shd w:val="clear" w:color="auto" w:fill="auto"/>
            <w:vAlign w:val="center"/>
          </w:tcPr>
          <w:p w14:paraId="7052AA4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1,600</w:t>
            </w:r>
          </w:p>
        </w:tc>
        <w:tc>
          <w:tcPr>
            <w:tcW w:w="1378" w:type="dxa"/>
            <w:shd w:val="clear" w:color="auto" w:fill="auto"/>
            <w:vAlign w:val="center"/>
          </w:tcPr>
          <w:p w14:paraId="2E921D7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1,700</w:t>
            </w:r>
          </w:p>
        </w:tc>
      </w:tr>
      <w:tr w14:paraId="25D1C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14E4E37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Assets</w:t>
            </w:r>
          </w:p>
        </w:tc>
        <w:tc>
          <w:tcPr>
            <w:tcW w:w="1514" w:type="dxa"/>
            <w:shd w:val="clear" w:color="auto" w:fill="auto"/>
            <w:vAlign w:val="center"/>
          </w:tcPr>
          <w:p w14:paraId="76A04F9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18,000</w:t>
            </w:r>
          </w:p>
        </w:tc>
        <w:tc>
          <w:tcPr>
            <w:tcW w:w="1514" w:type="dxa"/>
            <w:shd w:val="clear" w:color="auto" w:fill="auto"/>
            <w:vAlign w:val="center"/>
          </w:tcPr>
          <w:p w14:paraId="5D904A7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19,000</w:t>
            </w:r>
          </w:p>
        </w:tc>
        <w:tc>
          <w:tcPr>
            <w:tcW w:w="1362" w:type="dxa"/>
            <w:shd w:val="clear" w:color="auto" w:fill="auto"/>
            <w:vAlign w:val="center"/>
          </w:tcPr>
          <w:p w14:paraId="4F32C4B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8,000</w:t>
            </w:r>
          </w:p>
        </w:tc>
        <w:tc>
          <w:tcPr>
            <w:tcW w:w="1378" w:type="dxa"/>
            <w:shd w:val="clear" w:color="auto" w:fill="auto"/>
            <w:vAlign w:val="center"/>
          </w:tcPr>
          <w:p w14:paraId="471124B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8,600</w:t>
            </w:r>
          </w:p>
        </w:tc>
      </w:tr>
      <w:tr w14:paraId="5F143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0FF2A81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Liabilities</w:t>
            </w:r>
          </w:p>
        </w:tc>
        <w:tc>
          <w:tcPr>
            <w:tcW w:w="1514" w:type="dxa"/>
            <w:shd w:val="clear" w:color="auto" w:fill="auto"/>
            <w:vAlign w:val="center"/>
          </w:tcPr>
          <w:p w14:paraId="4DACA82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10,000</w:t>
            </w:r>
          </w:p>
        </w:tc>
        <w:tc>
          <w:tcPr>
            <w:tcW w:w="1514" w:type="dxa"/>
            <w:shd w:val="clear" w:color="auto" w:fill="auto"/>
            <w:vAlign w:val="center"/>
          </w:tcPr>
          <w:p w14:paraId="11D50B8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10,500</w:t>
            </w:r>
          </w:p>
        </w:tc>
        <w:tc>
          <w:tcPr>
            <w:tcW w:w="1362" w:type="dxa"/>
            <w:shd w:val="clear" w:color="auto" w:fill="auto"/>
            <w:vAlign w:val="center"/>
          </w:tcPr>
          <w:p w14:paraId="4C2AB13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4,200</w:t>
            </w:r>
          </w:p>
        </w:tc>
        <w:tc>
          <w:tcPr>
            <w:tcW w:w="1378" w:type="dxa"/>
            <w:shd w:val="clear" w:color="auto" w:fill="auto"/>
            <w:vAlign w:val="center"/>
          </w:tcPr>
          <w:p w14:paraId="4B1F895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4,500</w:t>
            </w:r>
          </w:p>
        </w:tc>
      </w:tr>
      <w:tr w14:paraId="23D21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6ACF65F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Inventory</w:t>
            </w:r>
          </w:p>
        </w:tc>
        <w:tc>
          <w:tcPr>
            <w:tcW w:w="1514" w:type="dxa"/>
            <w:shd w:val="clear" w:color="auto" w:fill="auto"/>
            <w:vAlign w:val="center"/>
          </w:tcPr>
          <w:p w14:paraId="0241A25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2,000</w:t>
            </w:r>
          </w:p>
        </w:tc>
        <w:tc>
          <w:tcPr>
            <w:tcW w:w="1514" w:type="dxa"/>
            <w:shd w:val="clear" w:color="auto" w:fill="auto"/>
            <w:vAlign w:val="center"/>
          </w:tcPr>
          <w:p w14:paraId="2956C04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w:t>
            </w:r>
          </w:p>
        </w:tc>
        <w:tc>
          <w:tcPr>
            <w:tcW w:w="1362" w:type="dxa"/>
            <w:shd w:val="clear" w:color="auto" w:fill="auto"/>
            <w:vAlign w:val="center"/>
          </w:tcPr>
          <w:p w14:paraId="36895D1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900</w:t>
            </w:r>
          </w:p>
        </w:tc>
        <w:tc>
          <w:tcPr>
            <w:tcW w:w="1378" w:type="dxa"/>
            <w:shd w:val="clear" w:color="auto" w:fill="auto"/>
            <w:vAlign w:val="center"/>
          </w:tcPr>
          <w:p w14:paraId="6597E78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950</w:t>
            </w:r>
          </w:p>
        </w:tc>
      </w:tr>
      <w:tr w14:paraId="5A73E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2A5CDC4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w:t>
            </w:r>
          </w:p>
        </w:tc>
        <w:tc>
          <w:tcPr>
            <w:tcW w:w="1514" w:type="dxa"/>
            <w:shd w:val="clear" w:color="auto" w:fill="auto"/>
            <w:vAlign w:val="center"/>
          </w:tcPr>
          <w:p w14:paraId="3D4CFA2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8,000</w:t>
            </w:r>
          </w:p>
        </w:tc>
        <w:tc>
          <w:tcPr>
            <w:tcW w:w="1514" w:type="dxa"/>
            <w:shd w:val="clear" w:color="auto" w:fill="auto"/>
            <w:vAlign w:val="center"/>
          </w:tcPr>
          <w:p w14:paraId="3C515D5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8,500</w:t>
            </w:r>
          </w:p>
        </w:tc>
        <w:tc>
          <w:tcPr>
            <w:tcW w:w="1362" w:type="dxa"/>
            <w:shd w:val="clear" w:color="auto" w:fill="auto"/>
            <w:vAlign w:val="center"/>
          </w:tcPr>
          <w:p w14:paraId="1BDDFD1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3,800</w:t>
            </w:r>
          </w:p>
        </w:tc>
        <w:tc>
          <w:tcPr>
            <w:tcW w:w="1378" w:type="dxa"/>
            <w:shd w:val="clear" w:color="auto" w:fill="auto"/>
            <w:vAlign w:val="center"/>
          </w:tcPr>
          <w:p w14:paraId="5B80B69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4,100</w:t>
            </w:r>
          </w:p>
        </w:tc>
      </w:tr>
      <w:tr w14:paraId="2B882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5561061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Market Capitalization</w:t>
            </w:r>
          </w:p>
        </w:tc>
        <w:tc>
          <w:tcPr>
            <w:tcW w:w="1514" w:type="dxa"/>
            <w:shd w:val="clear" w:color="auto" w:fill="auto"/>
            <w:vAlign w:val="center"/>
          </w:tcPr>
          <w:p w14:paraId="2D6CC98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60,000</w:t>
            </w:r>
          </w:p>
        </w:tc>
        <w:tc>
          <w:tcPr>
            <w:tcW w:w="1514" w:type="dxa"/>
            <w:shd w:val="clear" w:color="auto" w:fill="auto"/>
            <w:vAlign w:val="center"/>
          </w:tcPr>
          <w:p w14:paraId="2F81B1E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66,000</w:t>
            </w:r>
          </w:p>
        </w:tc>
        <w:tc>
          <w:tcPr>
            <w:tcW w:w="1362" w:type="dxa"/>
            <w:shd w:val="clear" w:color="auto" w:fill="auto"/>
            <w:vAlign w:val="center"/>
          </w:tcPr>
          <w:p w14:paraId="4517292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20,000</w:t>
            </w:r>
          </w:p>
        </w:tc>
        <w:tc>
          <w:tcPr>
            <w:tcW w:w="1378" w:type="dxa"/>
            <w:shd w:val="clear" w:color="auto" w:fill="auto"/>
            <w:vAlign w:val="center"/>
          </w:tcPr>
          <w:p w14:paraId="7594B9A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21,500</w:t>
            </w:r>
          </w:p>
        </w:tc>
      </w:tr>
      <w:tr w14:paraId="02672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2951" w:type="dxa"/>
            <w:shd w:val="clear" w:color="auto" w:fill="auto"/>
            <w:vAlign w:val="center"/>
          </w:tcPr>
          <w:p w14:paraId="088F9AF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Shares Outstanding</w:t>
            </w:r>
          </w:p>
        </w:tc>
        <w:tc>
          <w:tcPr>
            <w:tcW w:w="1514" w:type="dxa"/>
            <w:shd w:val="clear" w:color="auto" w:fill="auto"/>
            <w:vAlign w:val="center"/>
          </w:tcPr>
          <w:p w14:paraId="01CC1EB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500</w:t>
            </w:r>
          </w:p>
        </w:tc>
        <w:tc>
          <w:tcPr>
            <w:tcW w:w="1514" w:type="dxa"/>
            <w:shd w:val="clear" w:color="auto" w:fill="auto"/>
            <w:vAlign w:val="center"/>
          </w:tcPr>
          <w:p w14:paraId="17AB24D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500</w:t>
            </w:r>
          </w:p>
        </w:tc>
        <w:tc>
          <w:tcPr>
            <w:tcW w:w="1362" w:type="dxa"/>
            <w:shd w:val="clear" w:color="auto" w:fill="auto"/>
            <w:vAlign w:val="center"/>
          </w:tcPr>
          <w:p w14:paraId="7763C7E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w:t>
            </w:r>
          </w:p>
        </w:tc>
        <w:tc>
          <w:tcPr>
            <w:tcW w:w="1378" w:type="dxa"/>
            <w:shd w:val="clear" w:color="auto" w:fill="auto"/>
            <w:vAlign w:val="center"/>
          </w:tcPr>
          <w:p w14:paraId="0651C94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w:t>
            </w:r>
          </w:p>
        </w:tc>
      </w:tr>
      <w:tr w14:paraId="38DA3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atLeast"/>
        </w:trPr>
        <w:tc>
          <w:tcPr>
            <w:tcW w:w="2951" w:type="dxa"/>
            <w:shd w:val="clear" w:color="auto" w:fill="auto"/>
            <w:vAlign w:val="center"/>
          </w:tcPr>
          <w:p w14:paraId="051C8A3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EPS (Earnings per Share)</w:t>
            </w:r>
          </w:p>
        </w:tc>
        <w:tc>
          <w:tcPr>
            <w:tcW w:w="1514" w:type="dxa"/>
            <w:shd w:val="clear" w:color="auto" w:fill="auto"/>
            <w:vAlign w:val="center"/>
          </w:tcPr>
          <w:p w14:paraId="26C69A1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4.40</w:t>
            </w:r>
          </w:p>
        </w:tc>
        <w:tc>
          <w:tcPr>
            <w:tcW w:w="1514" w:type="dxa"/>
            <w:shd w:val="clear" w:color="auto" w:fill="auto"/>
            <w:vAlign w:val="center"/>
          </w:tcPr>
          <w:p w14:paraId="194A872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4.80</w:t>
            </w:r>
          </w:p>
        </w:tc>
        <w:tc>
          <w:tcPr>
            <w:tcW w:w="1362" w:type="dxa"/>
            <w:shd w:val="clear" w:color="auto" w:fill="auto"/>
            <w:vAlign w:val="center"/>
          </w:tcPr>
          <w:p w14:paraId="21C57B3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3.50</w:t>
            </w:r>
          </w:p>
        </w:tc>
        <w:tc>
          <w:tcPr>
            <w:tcW w:w="1378" w:type="dxa"/>
            <w:shd w:val="clear" w:color="auto" w:fill="auto"/>
            <w:vAlign w:val="center"/>
          </w:tcPr>
          <w:p w14:paraId="2FEB745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3.75</w:t>
            </w:r>
          </w:p>
        </w:tc>
      </w:tr>
    </w:tbl>
    <w:p w14:paraId="6832B96E">
      <w:pPr>
        <w:keepNext w:val="0"/>
        <w:keepLines w:val="0"/>
        <w:widowControl/>
        <w:suppressLineNumbers w:val="0"/>
        <w:spacing w:line="360" w:lineRule="auto"/>
        <w:rPr>
          <w:rFonts w:hint="default" w:ascii="Arial" w:hAnsi="Arial" w:cs="Arial"/>
          <w:sz w:val="22"/>
          <w:szCs w:val="22"/>
          <w:shd w:val="clear" w:color="auto" w:fill="auto"/>
        </w:rPr>
      </w:pPr>
    </w:p>
    <w:p w14:paraId="6FF95838">
      <w:pPr>
        <w:pStyle w:val="3"/>
        <w:keepNext w:val="0"/>
        <w:keepLines w:val="0"/>
        <w:widowControl/>
        <w:suppressLineNumbers w:val="0"/>
        <w:spacing w:line="360" w:lineRule="auto"/>
        <w:rPr>
          <w:rFonts w:hint="default" w:ascii="Arial" w:hAnsi="Arial" w:cs="Arial"/>
          <w:sz w:val="22"/>
          <w:szCs w:val="22"/>
          <w:shd w:val="clear" w:color="auto" w:fill="auto"/>
        </w:rPr>
      </w:pPr>
    </w:p>
    <w:p w14:paraId="47CACEFD">
      <w:pPr>
        <w:pStyle w:val="3"/>
        <w:keepNext w:val="0"/>
        <w:keepLines w:val="0"/>
        <w:widowControl/>
        <w:suppressLineNumbers w:val="0"/>
        <w:spacing w:line="360" w:lineRule="auto"/>
        <w:rPr>
          <w:rFonts w:hint="default" w:ascii="Arial" w:hAnsi="Arial" w:cs="Arial"/>
          <w:sz w:val="22"/>
          <w:szCs w:val="22"/>
          <w:shd w:val="clear" w:color="auto" w:fill="auto"/>
        </w:rPr>
      </w:pPr>
      <w:bookmarkStart w:id="6" w:name="_Toc19851"/>
      <w:r>
        <w:rPr>
          <w:rFonts w:hint="default" w:ascii="Arial" w:hAnsi="Arial" w:cs="Arial"/>
          <w:sz w:val="22"/>
          <w:szCs w:val="22"/>
          <w:shd w:val="clear" w:color="auto" w:fill="auto"/>
        </w:rPr>
        <w:t>2.4 Ratio Analysis</w:t>
      </w:r>
      <w:bookmarkEnd w:id="6"/>
    </w:p>
    <w:p w14:paraId="5167DE20">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 </w:t>
      </w:r>
      <w:r>
        <w:rPr>
          <w:rStyle w:val="10"/>
          <w:rFonts w:hint="default" w:ascii="Arial" w:hAnsi="Arial" w:cs="Arial"/>
          <w:b/>
          <w:bCs/>
          <w:sz w:val="22"/>
          <w:szCs w:val="22"/>
          <w:shd w:val="clear" w:color="auto" w:fill="auto"/>
        </w:rPr>
        <w:t>Profitability Ratios</w:t>
      </w:r>
    </w:p>
    <w:tbl>
      <w:tblPr>
        <w:tblStyle w:val="11"/>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30"/>
        <w:gridCol w:w="2882"/>
        <w:gridCol w:w="1508"/>
        <w:gridCol w:w="1438"/>
      </w:tblGrid>
      <w:tr w14:paraId="48656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9" w:hRule="atLeast"/>
        </w:trPr>
        <w:tc>
          <w:tcPr>
            <w:tcW w:w="2730" w:type="dxa"/>
            <w:shd w:val="clear" w:color="auto" w:fill="auto"/>
            <w:vAlign w:val="center"/>
          </w:tcPr>
          <w:p w14:paraId="268E6223">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2882" w:type="dxa"/>
            <w:shd w:val="clear" w:color="auto" w:fill="auto"/>
            <w:vAlign w:val="center"/>
          </w:tcPr>
          <w:p w14:paraId="758EBE8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Formula</w:t>
            </w:r>
          </w:p>
        </w:tc>
        <w:tc>
          <w:tcPr>
            <w:tcW w:w="1508" w:type="dxa"/>
            <w:shd w:val="clear" w:color="auto" w:fill="auto"/>
            <w:vAlign w:val="center"/>
          </w:tcPr>
          <w:p w14:paraId="2712B479">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438" w:type="dxa"/>
            <w:shd w:val="clear" w:color="auto" w:fill="auto"/>
            <w:vAlign w:val="center"/>
          </w:tcPr>
          <w:p w14:paraId="649A51D9">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1113D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9" w:hRule="atLeast"/>
        </w:trPr>
        <w:tc>
          <w:tcPr>
            <w:tcW w:w="2730" w:type="dxa"/>
            <w:shd w:val="clear" w:color="auto" w:fill="auto"/>
            <w:vAlign w:val="center"/>
          </w:tcPr>
          <w:p w14:paraId="6F980B1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Profit Margin (%)</w:t>
            </w:r>
          </w:p>
        </w:tc>
        <w:tc>
          <w:tcPr>
            <w:tcW w:w="2882" w:type="dxa"/>
            <w:shd w:val="clear" w:color="auto" w:fill="auto"/>
            <w:vAlign w:val="center"/>
          </w:tcPr>
          <w:p w14:paraId="10F0FD3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 / Revenue</w:t>
            </w:r>
          </w:p>
        </w:tc>
        <w:tc>
          <w:tcPr>
            <w:tcW w:w="1508" w:type="dxa"/>
            <w:shd w:val="clear" w:color="auto" w:fill="auto"/>
            <w:vAlign w:val="center"/>
          </w:tcPr>
          <w:p w14:paraId="31AD9B7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10.00%</w:t>
            </w:r>
          </w:p>
        </w:tc>
        <w:tc>
          <w:tcPr>
            <w:tcW w:w="1438" w:type="dxa"/>
            <w:shd w:val="clear" w:color="auto" w:fill="auto"/>
            <w:vAlign w:val="center"/>
          </w:tcPr>
          <w:p w14:paraId="32A104F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7.65%</w:t>
            </w:r>
          </w:p>
        </w:tc>
      </w:tr>
      <w:tr w14:paraId="42B9E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9" w:hRule="atLeast"/>
        </w:trPr>
        <w:tc>
          <w:tcPr>
            <w:tcW w:w="2730" w:type="dxa"/>
            <w:shd w:val="clear" w:color="auto" w:fill="auto"/>
            <w:vAlign w:val="center"/>
          </w:tcPr>
          <w:p w14:paraId="2A49EE8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Return on Assets (ROA)</w:t>
            </w:r>
          </w:p>
        </w:tc>
        <w:tc>
          <w:tcPr>
            <w:tcW w:w="2882" w:type="dxa"/>
            <w:shd w:val="clear" w:color="auto" w:fill="auto"/>
            <w:vAlign w:val="center"/>
          </w:tcPr>
          <w:p w14:paraId="26D76E6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 / Total Assets</w:t>
            </w:r>
          </w:p>
        </w:tc>
        <w:tc>
          <w:tcPr>
            <w:tcW w:w="1508" w:type="dxa"/>
            <w:shd w:val="clear" w:color="auto" w:fill="auto"/>
            <w:vAlign w:val="center"/>
          </w:tcPr>
          <w:p w14:paraId="7B4793F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12.63%</w:t>
            </w:r>
          </w:p>
        </w:tc>
        <w:tc>
          <w:tcPr>
            <w:tcW w:w="1438" w:type="dxa"/>
            <w:shd w:val="clear" w:color="auto" w:fill="auto"/>
            <w:vAlign w:val="center"/>
          </w:tcPr>
          <w:p w14:paraId="2F351D3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8.72%</w:t>
            </w:r>
          </w:p>
        </w:tc>
      </w:tr>
      <w:tr w14:paraId="044D7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6" w:hRule="atLeast"/>
        </w:trPr>
        <w:tc>
          <w:tcPr>
            <w:tcW w:w="2730" w:type="dxa"/>
            <w:shd w:val="clear" w:color="auto" w:fill="auto"/>
            <w:vAlign w:val="center"/>
          </w:tcPr>
          <w:p w14:paraId="3E1911E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Return on Equity (ROE)</w:t>
            </w:r>
          </w:p>
        </w:tc>
        <w:tc>
          <w:tcPr>
            <w:tcW w:w="2882" w:type="dxa"/>
            <w:shd w:val="clear" w:color="auto" w:fill="auto"/>
            <w:vAlign w:val="center"/>
          </w:tcPr>
          <w:p w14:paraId="4B5B706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 / Equity</w:t>
            </w:r>
          </w:p>
        </w:tc>
        <w:tc>
          <w:tcPr>
            <w:tcW w:w="1508" w:type="dxa"/>
            <w:shd w:val="clear" w:color="auto" w:fill="auto"/>
            <w:vAlign w:val="center"/>
          </w:tcPr>
          <w:p w14:paraId="4B1F449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28.24%</w:t>
            </w:r>
          </w:p>
        </w:tc>
        <w:tc>
          <w:tcPr>
            <w:tcW w:w="1438" w:type="dxa"/>
            <w:shd w:val="clear" w:color="auto" w:fill="auto"/>
            <w:vAlign w:val="center"/>
          </w:tcPr>
          <w:p w14:paraId="296ACC7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18.29%</w:t>
            </w:r>
          </w:p>
        </w:tc>
      </w:tr>
    </w:tbl>
    <w:p w14:paraId="5FA373EA">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Interpretation</w:t>
      </w:r>
      <w:r>
        <w:rPr>
          <w:rFonts w:hint="default" w:ascii="Arial" w:hAnsi="Arial" w:cs="Arial"/>
          <w:sz w:val="22"/>
          <w:szCs w:val="22"/>
          <w:shd w:val="clear" w:color="auto" w:fill="auto"/>
        </w:rPr>
        <w:t>: Adidas outperforms Puma across all profitability ratios, reflecting better cost management and operational efficiency. The high ROE for Adidas signals strong shareholder returns, though it may indicate higher financial leverage.</w:t>
      </w:r>
    </w:p>
    <w:p w14:paraId="435DB215">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B. </w:t>
      </w:r>
      <w:r>
        <w:rPr>
          <w:rStyle w:val="10"/>
          <w:rFonts w:hint="default" w:ascii="Arial" w:hAnsi="Arial" w:cs="Arial"/>
          <w:b/>
          <w:bCs/>
          <w:sz w:val="22"/>
          <w:szCs w:val="22"/>
          <w:shd w:val="clear" w:color="auto" w:fill="auto"/>
        </w:rPr>
        <w:t>Liquidity Ratios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01"/>
        <w:gridCol w:w="3945"/>
        <w:gridCol w:w="1559"/>
        <w:gridCol w:w="1417"/>
      </w:tblGrid>
      <w:tr w14:paraId="341F8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shd w:val="clear" w:color="auto" w:fill="auto"/>
            <w:vAlign w:val="center"/>
          </w:tcPr>
          <w:p w14:paraId="113ADEEB">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3945" w:type="dxa"/>
            <w:shd w:val="clear" w:color="auto" w:fill="auto"/>
            <w:vAlign w:val="center"/>
          </w:tcPr>
          <w:p w14:paraId="5450FFE3">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Formula</w:t>
            </w:r>
          </w:p>
        </w:tc>
        <w:tc>
          <w:tcPr>
            <w:tcW w:w="1559" w:type="dxa"/>
            <w:shd w:val="clear" w:color="auto" w:fill="auto"/>
            <w:vAlign w:val="center"/>
          </w:tcPr>
          <w:p w14:paraId="4384F176">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417" w:type="dxa"/>
            <w:shd w:val="clear" w:color="auto" w:fill="auto"/>
            <w:vAlign w:val="center"/>
          </w:tcPr>
          <w:p w14:paraId="3D9BDF75">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3BF7D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1" w:type="dxa"/>
            <w:shd w:val="clear" w:color="auto" w:fill="auto"/>
            <w:vAlign w:val="center"/>
          </w:tcPr>
          <w:p w14:paraId="457345C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Ratio</w:t>
            </w:r>
          </w:p>
        </w:tc>
        <w:tc>
          <w:tcPr>
            <w:tcW w:w="3945" w:type="dxa"/>
            <w:shd w:val="clear" w:color="auto" w:fill="auto"/>
            <w:vAlign w:val="center"/>
          </w:tcPr>
          <w:p w14:paraId="15D36D1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Assets / Current Liabilities</w:t>
            </w:r>
          </w:p>
        </w:tc>
        <w:tc>
          <w:tcPr>
            <w:tcW w:w="1559" w:type="dxa"/>
            <w:shd w:val="clear" w:color="auto" w:fill="auto"/>
            <w:vAlign w:val="center"/>
          </w:tcPr>
          <w:p w14:paraId="0763A2E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1.74</w:t>
            </w:r>
          </w:p>
        </w:tc>
        <w:tc>
          <w:tcPr>
            <w:tcW w:w="1417" w:type="dxa"/>
            <w:shd w:val="clear" w:color="auto" w:fill="auto"/>
            <w:vAlign w:val="center"/>
          </w:tcPr>
          <w:p w14:paraId="166C2A5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1.82</w:t>
            </w:r>
          </w:p>
        </w:tc>
      </w:tr>
      <w:tr w14:paraId="608E9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1" w:type="dxa"/>
            <w:shd w:val="clear" w:color="auto" w:fill="auto"/>
            <w:vAlign w:val="center"/>
          </w:tcPr>
          <w:p w14:paraId="27B81F2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Quick Ratio</w:t>
            </w:r>
          </w:p>
        </w:tc>
        <w:tc>
          <w:tcPr>
            <w:tcW w:w="3945" w:type="dxa"/>
            <w:shd w:val="clear" w:color="auto" w:fill="auto"/>
            <w:vAlign w:val="center"/>
          </w:tcPr>
          <w:p w14:paraId="4CA5C37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Assets - Inventory) / CL</w:t>
            </w:r>
          </w:p>
        </w:tc>
        <w:tc>
          <w:tcPr>
            <w:tcW w:w="1559" w:type="dxa"/>
            <w:shd w:val="clear" w:color="auto" w:fill="auto"/>
            <w:vAlign w:val="center"/>
          </w:tcPr>
          <w:p w14:paraId="5AAB67A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1.23</w:t>
            </w:r>
          </w:p>
        </w:tc>
        <w:tc>
          <w:tcPr>
            <w:tcW w:w="1417" w:type="dxa"/>
            <w:shd w:val="clear" w:color="auto" w:fill="auto"/>
            <w:vAlign w:val="center"/>
          </w:tcPr>
          <w:p w14:paraId="74B5B84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w:t>
            </w:r>
          </w:p>
        </w:tc>
      </w:tr>
    </w:tbl>
    <w:p w14:paraId="71638024">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Interpretation</w:t>
      </w:r>
      <w:r>
        <w:rPr>
          <w:rFonts w:hint="default" w:ascii="Arial" w:hAnsi="Arial" w:cs="Arial"/>
          <w:sz w:val="22"/>
          <w:szCs w:val="22"/>
          <w:shd w:val="clear" w:color="auto" w:fill="auto"/>
        </w:rPr>
        <w:t>: Both companies have healthy liquidity. Puma holds a slightly higher liquidity buffer, although Adidas maintains a safe margin above 1, indicating low short-term insolvency risk.</w:t>
      </w:r>
    </w:p>
    <w:p w14:paraId="71777A47">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C. </w:t>
      </w:r>
      <w:r>
        <w:rPr>
          <w:rStyle w:val="10"/>
          <w:rFonts w:hint="default" w:ascii="Arial" w:hAnsi="Arial" w:cs="Arial"/>
          <w:b/>
          <w:bCs/>
          <w:sz w:val="22"/>
          <w:szCs w:val="22"/>
          <w:shd w:val="clear" w:color="auto" w:fill="auto"/>
        </w:rPr>
        <w:t>Efficiency Ratios</w:t>
      </w:r>
    </w:p>
    <w:tbl>
      <w:tblPr>
        <w:tblStyle w:val="11"/>
        <w:tblW w:w="6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2"/>
        <w:gridCol w:w="2335"/>
        <w:gridCol w:w="1345"/>
        <w:gridCol w:w="1225"/>
      </w:tblGrid>
      <w:tr w14:paraId="4095F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shd w:val="clear" w:color="auto" w:fill="auto"/>
            <w:vAlign w:val="center"/>
          </w:tcPr>
          <w:p w14:paraId="40467FD7">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2335" w:type="dxa"/>
            <w:shd w:val="clear" w:color="auto" w:fill="auto"/>
            <w:vAlign w:val="center"/>
          </w:tcPr>
          <w:p w14:paraId="17C2BD6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Formula</w:t>
            </w:r>
          </w:p>
        </w:tc>
        <w:tc>
          <w:tcPr>
            <w:tcW w:w="1345" w:type="dxa"/>
            <w:shd w:val="clear" w:color="auto" w:fill="auto"/>
            <w:vAlign w:val="center"/>
          </w:tcPr>
          <w:p w14:paraId="1F8F12EA">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225" w:type="dxa"/>
            <w:shd w:val="clear" w:color="auto" w:fill="auto"/>
            <w:vAlign w:val="center"/>
          </w:tcPr>
          <w:p w14:paraId="2168BFF3">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7F9DC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shd w:val="clear" w:color="auto" w:fill="auto"/>
            <w:vAlign w:val="center"/>
          </w:tcPr>
          <w:p w14:paraId="19525CA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Inventory Turnover</w:t>
            </w:r>
          </w:p>
        </w:tc>
        <w:tc>
          <w:tcPr>
            <w:tcW w:w="2335" w:type="dxa"/>
            <w:shd w:val="clear" w:color="auto" w:fill="auto"/>
            <w:vAlign w:val="center"/>
          </w:tcPr>
          <w:p w14:paraId="56EE808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 / Inventory</w:t>
            </w:r>
          </w:p>
        </w:tc>
        <w:tc>
          <w:tcPr>
            <w:tcW w:w="1345" w:type="dxa"/>
            <w:shd w:val="clear" w:color="auto" w:fill="auto"/>
            <w:vAlign w:val="center"/>
          </w:tcPr>
          <w:p w14:paraId="5955A47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10.91</w:t>
            </w:r>
          </w:p>
        </w:tc>
        <w:tc>
          <w:tcPr>
            <w:tcW w:w="1225" w:type="dxa"/>
            <w:shd w:val="clear" w:color="auto" w:fill="auto"/>
            <w:vAlign w:val="center"/>
          </w:tcPr>
          <w:p w14:paraId="3604B0C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10.32</w:t>
            </w:r>
          </w:p>
        </w:tc>
      </w:tr>
      <w:tr w14:paraId="556E8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shd w:val="clear" w:color="auto" w:fill="auto"/>
            <w:vAlign w:val="center"/>
          </w:tcPr>
          <w:p w14:paraId="026EE5D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Asset Turnover</w:t>
            </w:r>
          </w:p>
        </w:tc>
        <w:tc>
          <w:tcPr>
            <w:tcW w:w="2335" w:type="dxa"/>
            <w:shd w:val="clear" w:color="auto" w:fill="auto"/>
            <w:vAlign w:val="center"/>
          </w:tcPr>
          <w:p w14:paraId="5443D1F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 / Total Assets</w:t>
            </w:r>
          </w:p>
        </w:tc>
        <w:tc>
          <w:tcPr>
            <w:tcW w:w="1345" w:type="dxa"/>
            <w:shd w:val="clear" w:color="auto" w:fill="auto"/>
            <w:vAlign w:val="center"/>
          </w:tcPr>
          <w:p w14:paraId="61453E1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w:t>
            </w:r>
          </w:p>
        </w:tc>
        <w:tc>
          <w:tcPr>
            <w:tcW w:w="1225" w:type="dxa"/>
            <w:shd w:val="clear" w:color="auto" w:fill="auto"/>
            <w:vAlign w:val="center"/>
          </w:tcPr>
          <w:p w14:paraId="31C26F9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1.14</w:t>
            </w:r>
          </w:p>
        </w:tc>
      </w:tr>
    </w:tbl>
    <w:p w14:paraId="272C2130">
      <w:pPr>
        <w:pStyle w:val="9"/>
        <w:keepNext w:val="0"/>
        <w:keepLines w:val="0"/>
        <w:widowControl/>
        <w:suppressLineNumbers w:val="0"/>
        <w:spacing w:line="360" w:lineRule="auto"/>
        <w:rPr>
          <w:rStyle w:val="10"/>
          <w:rFonts w:hint="default" w:ascii="Arial" w:hAnsi="Arial" w:cs="Arial"/>
          <w:sz w:val="22"/>
          <w:szCs w:val="22"/>
          <w:shd w:val="clear" w:color="auto" w:fill="auto"/>
        </w:rPr>
      </w:pPr>
    </w:p>
    <w:p w14:paraId="27D7013C">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Interpretation</w:t>
      </w:r>
      <w:r>
        <w:rPr>
          <w:rFonts w:hint="default" w:ascii="Arial" w:hAnsi="Arial" w:cs="Arial"/>
          <w:sz w:val="22"/>
          <w:szCs w:val="22"/>
          <w:shd w:val="clear" w:color="auto" w:fill="auto"/>
        </w:rPr>
        <w:t>: Adidas uses its assets more effectively to generate revenue and turns over its inventory more frequently, indicating stronger operational performance.</w:t>
      </w:r>
    </w:p>
    <w:p w14:paraId="24B36227">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D. </w:t>
      </w:r>
      <w:r>
        <w:rPr>
          <w:rStyle w:val="10"/>
          <w:rFonts w:hint="default" w:ascii="Arial" w:hAnsi="Arial" w:cs="Arial"/>
          <w:b/>
          <w:bCs/>
          <w:sz w:val="22"/>
          <w:szCs w:val="22"/>
          <w:shd w:val="clear" w:color="auto" w:fill="auto"/>
        </w:rPr>
        <w:t>Leverage Ratios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56"/>
        <w:gridCol w:w="3115"/>
        <w:gridCol w:w="1809"/>
        <w:gridCol w:w="1642"/>
      </w:tblGrid>
      <w:tr w14:paraId="77123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shd w:val="clear" w:color="auto" w:fill="auto"/>
            <w:vAlign w:val="center"/>
          </w:tcPr>
          <w:p w14:paraId="59DFF606">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3115" w:type="dxa"/>
            <w:shd w:val="clear" w:color="auto" w:fill="auto"/>
            <w:vAlign w:val="center"/>
          </w:tcPr>
          <w:p w14:paraId="60C9FC6A">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Formula</w:t>
            </w:r>
          </w:p>
        </w:tc>
        <w:tc>
          <w:tcPr>
            <w:tcW w:w="1809" w:type="dxa"/>
            <w:shd w:val="clear" w:color="auto" w:fill="auto"/>
            <w:vAlign w:val="center"/>
          </w:tcPr>
          <w:p w14:paraId="623FEC33">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642" w:type="dxa"/>
            <w:shd w:val="clear" w:color="auto" w:fill="auto"/>
            <w:vAlign w:val="center"/>
          </w:tcPr>
          <w:p w14:paraId="425BB250">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3D75A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56" w:type="dxa"/>
            <w:shd w:val="clear" w:color="auto" w:fill="auto"/>
            <w:vAlign w:val="center"/>
          </w:tcPr>
          <w:p w14:paraId="483D4A7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Debt to Equity</w:t>
            </w:r>
          </w:p>
        </w:tc>
        <w:tc>
          <w:tcPr>
            <w:tcW w:w="3115" w:type="dxa"/>
            <w:shd w:val="clear" w:color="auto" w:fill="auto"/>
            <w:vAlign w:val="center"/>
          </w:tcPr>
          <w:p w14:paraId="36BF0EE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Liabilities / Equity</w:t>
            </w:r>
          </w:p>
        </w:tc>
        <w:tc>
          <w:tcPr>
            <w:tcW w:w="1809" w:type="dxa"/>
            <w:shd w:val="clear" w:color="auto" w:fill="auto"/>
            <w:vAlign w:val="center"/>
          </w:tcPr>
          <w:p w14:paraId="6FF5CB5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1.24</w:t>
            </w:r>
          </w:p>
        </w:tc>
        <w:tc>
          <w:tcPr>
            <w:tcW w:w="1642" w:type="dxa"/>
            <w:shd w:val="clear" w:color="auto" w:fill="auto"/>
            <w:vAlign w:val="center"/>
          </w:tcPr>
          <w:p w14:paraId="73639C0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1.10</w:t>
            </w:r>
          </w:p>
        </w:tc>
      </w:tr>
      <w:tr w14:paraId="4DF0F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56" w:type="dxa"/>
            <w:shd w:val="clear" w:color="auto" w:fill="auto"/>
            <w:vAlign w:val="center"/>
          </w:tcPr>
          <w:p w14:paraId="284D6D4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 Ratio</w:t>
            </w:r>
          </w:p>
        </w:tc>
        <w:tc>
          <w:tcPr>
            <w:tcW w:w="3115" w:type="dxa"/>
            <w:shd w:val="clear" w:color="auto" w:fill="auto"/>
            <w:vAlign w:val="center"/>
          </w:tcPr>
          <w:p w14:paraId="5954B78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 / Total Assets</w:t>
            </w:r>
          </w:p>
        </w:tc>
        <w:tc>
          <w:tcPr>
            <w:tcW w:w="1809" w:type="dxa"/>
            <w:shd w:val="clear" w:color="auto" w:fill="auto"/>
            <w:vAlign w:val="center"/>
          </w:tcPr>
          <w:p w14:paraId="268AB53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44.74%</w:t>
            </w:r>
          </w:p>
        </w:tc>
        <w:tc>
          <w:tcPr>
            <w:tcW w:w="1642" w:type="dxa"/>
            <w:shd w:val="clear" w:color="auto" w:fill="auto"/>
            <w:vAlign w:val="center"/>
          </w:tcPr>
          <w:p w14:paraId="24D6F57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47.67%</w:t>
            </w:r>
          </w:p>
        </w:tc>
      </w:tr>
    </w:tbl>
    <w:p w14:paraId="7E6953D8">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Interpretation</w:t>
      </w:r>
      <w:r>
        <w:rPr>
          <w:rFonts w:hint="default" w:ascii="Arial" w:hAnsi="Arial" w:cs="Arial"/>
          <w:sz w:val="22"/>
          <w:szCs w:val="22"/>
          <w:shd w:val="clear" w:color="auto" w:fill="auto"/>
        </w:rPr>
        <w:t>: Adidas is slightly more leveraged than Puma, which may amplify returns but also increases financial risk. Both companies maintain a balanced capital structure.</w:t>
      </w:r>
    </w:p>
    <w:p w14:paraId="649416FE">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E. </w:t>
      </w:r>
      <w:r>
        <w:rPr>
          <w:rStyle w:val="10"/>
          <w:rFonts w:hint="default" w:ascii="Arial" w:hAnsi="Arial" w:cs="Arial"/>
          <w:b/>
          <w:bCs/>
          <w:sz w:val="22"/>
          <w:szCs w:val="22"/>
          <w:shd w:val="clear" w:color="auto" w:fill="auto"/>
        </w:rPr>
        <w:t>Valuation Ratios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21"/>
        <w:gridCol w:w="3317"/>
        <w:gridCol w:w="1353"/>
        <w:gridCol w:w="1231"/>
      </w:tblGrid>
      <w:tr w14:paraId="749C8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1" w:type="dxa"/>
            <w:shd w:val="clear" w:color="auto" w:fill="auto"/>
            <w:vAlign w:val="center"/>
          </w:tcPr>
          <w:p w14:paraId="4E0E7278">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3317" w:type="dxa"/>
            <w:shd w:val="clear" w:color="auto" w:fill="auto"/>
            <w:vAlign w:val="center"/>
          </w:tcPr>
          <w:p w14:paraId="780C08BC">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Formula</w:t>
            </w:r>
          </w:p>
        </w:tc>
        <w:tc>
          <w:tcPr>
            <w:tcW w:w="1353" w:type="dxa"/>
            <w:shd w:val="clear" w:color="auto" w:fill="auto"/>
            <w:vAlign w:val="center"/>
          </w:tcPr>
          <w:p w14:paraId="7AB8D972">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 2024</w:t>
            </w:r>
          </w:p>
        </w:tc>
        <w:tc>
          <w:tcPr>
            <w:tcW w:w="1231" w:type="dxa"/>
            <w:shd w:val="clear" w:color="auto" w:fill="auto"/>
            <w:vAlign w:val="center"/>
          </w:tcPr>
          <w:p w14:paraId="01392C68">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 2024</w:t>
            </w:r>
          </w:p>
        </w:tc>
      </w:tr>
      <w:tr w14:paraId="4A20F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1" w:type="dxa"/>
            <w:shd w:val="clear" w:color="auto" w:fill="auto"/>
            <w:vAlign w:val="center"/>
          </w:tcPr>
          <w:p w14:paraId="4C8F84F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Price to Earnings (P/E)</w:t>
            </w:r>
          </w:p>
        </w:tc>
        <w:tc>
          <w:tcPr>
            <w:tcW w:w="3317" w:type="dxa"/>
            <w:shd w:val="clear" w:color="auto" w:fill="auto"/>
            <w:vAlign w:val="center"/>
          </w:tcPr>
          <w:p w14:paraId="368B003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Market Cap / Net Income</w:t>
            </w:r>
          </w:p>
        </w:tc>
        <w:tc>
          <w:tcPr>
            <w:tcW w:w="1353" w:type="dxa"/>
            <w:shd w:val="clear" w:color="auto" w:fill="auto"/>
            <w:vAlign w:val="center"/>
          </w:tcPr>
          <w:p w14:paraId="3253A43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27.5</w:t>
            </w:r>
          </w:p>
        </w:tc>
        <w:tc>
          <w:tcPr>
            <w:tcW w:w="1231" w:type="dxa"/>
            <w:shd w:val="clear" w:color="auto" w:fill="auto"/>
            <w:vAlign w:val="center"/>
          </w:tcPr>
          <w:p w14:paraId="2670955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28.67</w:t>
            </w:r>
          </w:p>
        </w:tc>
      </w:tr>
      <w:tr w14:paraId="14BF0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1" w:type="dxa"/>
            <w:shd w:val="clear" w:color="auto" w:fill="auto"/>
            <w:vAlign w:val="center"/>
          </w:tcPr>
          <w:p w14:paraId="52A298A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Earnings per Share (EPS)</w:t>
            </w:r>
          </w:p>
        </w:tc>
        <w:tc>
          <w:tcPr>
            <w:tcW w:w="3317" w:type="dxa"/>
            <w:shd w:val="clear" w:color="auto" w:fill="auto"/>
            <w:vAlign w:val="center"/>
          </w:tcPr>
          <w:p w14:paraId="003739F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 / Shares Outstanding</w:t>
            </w:r>
          </w:p>
        </w:tc>
        <w:tc>
          <w:tcPr>
            <w:tcW w:w="1353" w:type="dxa"/>
            <w:shd w:val="clear" w:color="auto" w:fill="auto"/>
            <w:vAlign w:val="center"/>
          </w:tcPr>
          <w:p w14:paraId="249DC93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4.80</w:t>
            </w:r>
          </w:p>
        </w:tc>
        <w:tc>
          <w:tcPr>
            <w:tcW w:w="1231" w:type="dxa"/>
            <w:shd w:val="clear" w:color="auto" w:fill="auto"/>
            <w:vAlign w:val="center"/>
          </w:tcPr>
          <w:p w14:paraId="6DA60E9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3.75</w:t>
            </w:r>
          </w:p>
        </w:tc>
      </w:tr>
    </w:tbl>
    <w:p w14:paraId="560F1CBA">
      <w:pPr>
        <w:pStyle w:val="9"/>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sz w:val="22"/>
          <w:szCs w:val="22"/>
          <w:shd w:val="clear" w:color="auto" w:fill="auto"/>
        </w:rPr>
        <w:t>Interpretation</w:t>
      </w:r>
      <w:r>
        <w:rPr>
          <w:rFonts w:hint="default" w:ascii="Arial" w:hAnsi="Arial" w:cs="Arial"/>
          <w:sz w:val="22"/>
          <w:szCs w:val="22"/>
          <w:shd w:val="clear" w:color="auto" w:fill="auto"/>
        </w:rPr>
        <w:t>: Both companies trade at similar P/E ratios, suggesting comparable market expectations. Adidas’s higher EPS implies stronger profitability on a per-share basis.</w:t>
      </w:r>
    </w:p>
    <w:p w14:paraId="5A4296BD">
      <w:pPr>
        <w:pStyle w:val="3"/>
        <w:keepNext w:val="0"/>
        <w:keepLines w:val="0"/>
        <w:widowControl/>
        <w:suppressLineNumbers w:val="0"/>
        <w:spacing w:line="360" w:lineRule="auto"/>
        <w:rPr>
          <w:rFonts w:hint="default" w:ascii="Arial" w:hAnsi="Arial" w:cs="Arial"/>
          <w:sz w:val="22"/>
          <w:szCs w:val="22"/>
          <w:shd w:val="clear" w:color="auto" w:fill="auto"/>
        </w:rPr>
      </w:pPr>
      <w:bookmarkStart w:id="7" w:name="_Toc17737"/>
      <w:r>
        <w:rPr>
          <w:rFonts w:hint="default" w:ascii="Arial" w:hAnsi="Arial" w:cs="Arial"/>
          <w:sz w:val="22"/>
          <w:szCs w:val="22"/>
          <w:shd w:val="clear" w:color="auto" w:fill="auto"/>
        </w:rPr>
        <w:t>2.5 Comparative Evaluation &amp; Discussion</w:t>
      </w:r>
      <w:bookmarkEnd w:id="7"/>
    </w:p>
    <w:p w14:paraId="3C369959">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Adidas demonstrates stronger overall financial performance than Puma across most categories. Its higher profitability, efficient asset utilization, and strong returns to equity holders suggest a robust operational model. While it assumes slightly more debt, this has not negatively affected its liquidity or performance.</w:t>
      </w:r>
    </w:p>
    <w:p w14:paraId="0B1F056A">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On the other hand, Puma maintains a conservative financial position with higher equity proportion and slightly better liquidity. However, it trails Adidas in profitability and efficiency metrics, indicating areas for potential improvement.</w:t>
      </w:r>
    </w:p>
    <w:p w14:paraId="77E64CEC">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integrated analysis of ratios presents a holistic financial picture. For Adidas, the synergy between high profitability and strong operational control contributes to its market leadership. Puma's more cautious approach supports financial stability but may limit growth potential.</w:t>
      </w:r>
    </w:p>
    <w:p w14:paraId="512174E8">
      <w:pPr>
        <w:pStyle w:val="2"/>
        <w:keepNext w:val="0"/>
        <w:keepLines w:val="0"/>
        <w:widowControl/>
        <w:suppressLineNumbers w:val="0"/>
        <w:spacing w:line="360" w:lineRule="auto"/>
        <w:rPr>
          <w:rFonts w:hint="default" w:ascii="Arial" w:hAnsi="Arial" w:cs="Arial"/>
          <w:sz w:val="24"/>
          <w:szCs w:val="24"/>
          <w:shd w:val="clear" w:color="auto" w:fill="auto"/>
        </w:rPr>
      </w:pPr>
      <w:bookmarkStart w:id="8" w:name="_Toc5839"/>
      <w:r>
        <w:rPr>
          <w:rStyle w:val="10"/>
          <w:rFonts w:hint="default" w:ascii="Arial" w:hAnsi="Arial" w:cs="Arial"/>
          <w:b/>
          <w:bCs/>
          <w:sz w:val="24"/>
          <w:szCs w:val="24"/>
          <w:shd w:val="clear" w:color="auto" w:fill="auto"/>
        </w:rPr>
        <w:t>3. Balanced Scorecard (BSC) – Strategic Performance Evaluation</w:t>
      </w:r>
      <w:bookmarkEnd w:id="8"/>
    </w:p>
    <w:p w14:paraId="3774977C">
      <w:pPr>
        <w:pStyle w:val="3"/>
        <w:keepNext w:val="0"/>
        <w:keepLines w:val="0"/>
        <w:widowControl/>
        <w:suppressLineNumbers w:val="0"/>
        <w:spacing w:line="360" w:lineRule="auto"/>
        <w:rPr>
          <w:rFonts w:hint="default" w:ascii="Arial" w:hAnsi="Arial" w:cs="Arial"/>
          <w:sz w:val="22"/>
          <w:szCs w:val="22"/>
          <w:shd w:val="clear" w:color="auto" w:fill="auto"/>
        </w:rPr>
      </w:pPr>
      <w:bookmarkStart w:id="9" w:name="_Toc7337"/>
      <w:r>
        <w:rPr>
          <w:rFonts w:hint="default" w:ascii="Arial" w:hAnsi="Arial" w:cs="Arial"/>
          <w:sz w:val="22"/>
          <w:szCs w:val="22"/>
          <w:shd w:val="clear" w:color="auto" w:fill="auto"/>
        </w:rPr>
        <w:t>3.1 Introduction to the Balanced Scorecard</w:t>
      </w:r>
      <w:bookmarkEnd w:id="9"/>
    </w:p>
    <w:p w14:paraId="61B5B35A">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The </w:t>
      </w:r>
      <w:r>
        <w:rPr>
          <w:rStyle w:val="10"/>
          <w:rFonts w:hint="default" w:ascii="Arial" w:hAnsi="Arial" w:cs="Arial"/>
          <w:sz w:val="22"/>
          <w:szCs w:val="22"/>
          <w:shd w:val="clear" w:color="auto" w:fill="auto"/>
        </w:rPr>
        <w:t>Balanced Scorecard (BSC)</w:t>
      </w:r>
      <w:r>
        <w:rPr>
          <w:rFonts w:hint="default" w:ascii="Arial" w:hAnsi="Arial" w:cs="Arial"/>
          <w:sz w:val="22"/>
          <w:szCs w:val="22"/>
          <w:shd w:val="clear" w:color="auto" w:fill="auto"/>
        </w:rPr>
        <w:t xml:space="preserve">, developed by Kaplan and Norton (1992), is a widely adopted strategic performance management framework. It expands traditional financial measurement by incorporating </w:t>
      </w:r>
      <w:r>
        <w:rPr>
          <w:rStyle w:val="10"/>
          <w:rFonts w:hint="default" w:ascii="Arial" w:hAnsi="Arial" w:cs="Arial"/>
          <w:sz w:val="22"/>
          <w:szCs w:val="22"/>
          <w:shd w:val="clear" w:color="auto" w:fill="auto"/>
        </w:rPr>
        <w:t>non-financial dimensions</w:t>
      </w:r>
      <w:r>
        <w:rPr>
          <w:rFonts w:hint="default" w:ascii="Arial" w:hAnsi="Arial" w:cs="Arial"/>
          <w:sz w:val="22"/>
          <w:szCs w:val="22"/>
          <w:shd w:val="clear" w:color="auto" w:fill="auto"/>
        </w:rPr>
        <w:t xml:space="preserve"> that are critical to achieving long-term goals. These dimensions typically include:</w:t>
      </w:r>
    </w:p>
    <w:p w14:paraId="09746BC2">
      <w:pPr>
        <w:pStyle w:val="9"/>
        <w:keepNext w:val="0"/>
        <w:keepLines w:val="0"/>
        <w:widowControl/>
        <w:numPr>
          <w:ilvl w:val="1"/>
          <w:numId w:val="1"/>
        </w:numPr>
        <w:suppressLineNumbers w:val="0"/>
        <w:spacing w:line="360" w:lineRule="auto"/>
        <w:ind w:left="84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Financial</w:t>
      </w:r>
    </w:p>
    <w:p w14:paraId="482F34D6">
      <w:pPr>
        <w:pStyle w:val="9"/>
        <w:keepNext w:val="0"/>
        <w:keepLines w:val="0"/>
        <w:widowControl/>
        <w:numPr>
          <w:ilvl w:val="1"/>
          <w:numId w:val="1"/>
        </w:numPr>
        <w:suppressLineNumbers w:val="0"/>
        <w:spacing w:line="360" w:lineRule="auto"/>
        <w:ind w:left="84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Customer</w:t>
      </w:r>
    </w:p>
    <w:p w14:paraId="1ABB2F23">
      <w:pPr>
        <w:pStyle w:val="9"/>
        <w:keepNext w:val="0"/>
        <w:keepLines w:val="0"/>
        <w:widowControl/>
        <w:numPr>
          <w:ilvl w:val="1"/>
          <w:numId w:val="1"/>
        </w:numPr>
        <w:suppressLineNumbers w:val="0"/>
        <w:spacing w:line="360" w:lineRule="auto"/>
        <w:ind w:left="84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Internal Business Processes</w:t>
      </w:r>
    </w:p>
    <w:p w14:paraId="401BF407">
      <w:pPr>
        <w:pStyle w:val="9"/>
        <w:keepNext w:val="0"/>
        <w:keepLines w:val="0"/>
        <w:widowControl/>
        <w:numPr>
          <w:ilvl w:val="1"/>
          <w:numId w:val="1"/>
        </w:numPr>
        <w:suppressLineNumbers w:val="0"/>
        <w:spacing w:line="360" w:lineRule="auto"/>
        <w:ind w:left="84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Learning and Growth</w:t>
      </w:r>
    </w:p>
    <w:p w14:paraId="0E0292B2">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BSC enables organizations like Adidas to align daily operations with strategic objectives and vision by translating strategy into performance metrics.</w:t>
      </w:r>
    </w:p>
    <w:p w14:paraId="3474F8C3">
      <w:pPr>
        <w:pStyle w:val="3"/>
        <w:keepNext w:val="0"/>
        <w:keepLines w:val="0"/>
        <w:widowControl/>
        <w:suppressLineNumbers w:val="0"/>
        <w:spacing w:line="360" w:lineRule="auto"/>
        <w:rPr>
          <w:rFonts w:hint="default" w:ascii="Arial" w:hAnsi="Arial" w:cs="Arial"/>
          <w:sz w:val="22"/>
          <w:szCs w:val="22"/>
          <w:shd w:val="clear" w:color="auto" w:fill="auto"/>
        </w:rPr>
      </w:pPr>
      <w:bookmarkStart w:id="10" w:name="_Toc28103"/>
      <w:r>
        <w:rPr>
          <w:rFonts w:hint="default" w:ascii="Arial" w:hAnsi="Arial" w:cs="Arial"/>
          <w:sz w:val="22"/>
          <w:szCs w:val="22"/>
          <w:shd w:val="clear" w:color="auto" w:fill="auto"/>
        </w:rPr>
        <w:t>3.2 Critical Evaluation of BSC</w:t>
      </w:r>
      <w:bookmarkEnd w:id="10"/>
    </w:p>
    <w:p w14:paraId="3CF89669">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While the BSC has proven to be an effective management tool, academic literature highlights </w:t>
      </w:r>
      <w:r>
        <w:rPr>
          <w:rStyle w:val="10"/>
          <w:rFonts w:hint="default" w:ascii="Arial" w:hAnsi="Arial" w:cs="Arial"/>
          <w:sz w:val="22"/>
          <w:szCs w:val="22"/>
          <w:shd w:val="clear" w:color="auto" w:fill="auto"/>
        </w:rPr>
        <w:t>several criticisms</w:t>
      </w:r>
      <w:r>
        <w:rPr>
          <w:rFonts w:hint="default" w:ascii="Arial" w:hAnsi="Arial" w:cs="Arial"/>
          <w:sz w:val="22"/>
          <w:szCs w:val="22"/>
          <w:shd w:val="clear" w:color="auto" w:fill="auto"/>
        </w:rPr>
        <w:t>:</w:t>
      </w:r>
    </w:p>
    <w:p w14:paraId="7F9A2371">
      <w:pPr>
        <w:pStyle w:val="9"/>
        <w:keepNext w:val="0"/>
        <w:keepLines w:val="0"/>
        <w:widowControl/>
        <w:numPr>
          <w:ilvl w:val="1"/>
          <w:numId w:val="2"/>
        </w:numPr>
        <w:suppressLineNumbers w:val="0"/>
        <w:spacing w:line="360" w:lineRule="auto"/>
        <w:ind w:left="425" w:leftChars="0" w:hanging="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Static and Rigid</w:t>
      </w:r>
      <w:r>
        <w:rPr>
          <w:rFonts w:hint="default" w:ascii="Arial" w:hAnsi="Arial" w:cs="Arial"/>
          <w:sz w:val="22"/>
          <w:szCs w:val="22"/>
          <w:shd w:val="clear" w:color="auto" w:fill="auto"/>
        </w:rPr>
        <w:t>: Traditional BSC frameworks may not reflect rapidly changing business environments (Hoque, 2014). This is a concern for dynamic industries like sportswear, where innovation and market trends evolve quickly.</w:t>
      </w:r>
    </w:p>
    <w:p w14:paraId="7A0D8FC9">
      <w:pPr>
        <w:pStyle w:val="9"/>
        <w:keepNext w:val="0"/>
        <w:keepLines w:val="0"/>
        <w:widowControl/>
        <w:numPr>
          <w:ilvl w:val="1"/>
          <w:numId w:val="2"/>
        </w:numPr>
        <w:suppressLineNumbers w:val="0"/>
        <w:spacing w:line="360" w:lineRule="auto"/>
        <w:ind w:left="425" w:leftChars="0" w:hanging="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Underdeveloped Causal Links</w:t>
      </w:r>
      <w:r>
        <w:rPr>
          <w:rFonts w:hint="default" w:ascii="Arial" w:hAnsi="Arial" w:cs="Arial"/>
          <w:sz w:val="22"/>
          <w:szCs w:val="22"/>
          <w:shd w:val="clear" w:color="auto" w:fill="auto"/>
        </w:rPr>
        <w:t>: Kaplan and Norton suggested that each BSC perspective influences the next (learning → internal → customer → financial). However, empirical studies (Nørreklit, 2014) argue that these links are often weak or unproven in practice.</w:t>
      </w:r>
    </w:p>
    <w:p w14:paraId="76A8E858">
      <w:pPr>
        <w:pStyle w:val="9"/>
        <w:keepNext w:val="0"/>
        <w:keepLines w:val="0"/>
        <w:widowControl/>
        <w:numPr>
          <w:ilvl w:val="1"/>
          <w:numId w:val="2"/>
        </w:numPr>
        <w:suppressLineNumbers w:val="0"/>
        <w:spacing w:line="360" w:lineRule="auto"/>
        <w:ind w:left="425" w:leftChars="0" w:hanging="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Overemphasis on Measurement</w:t>
      </w:r>
      <w:r>
        <w:rPr>
          <w:rFonts w:hint="default" w:ascii="Arial" w:hAnsi="Arial" w:cs="Arial"/>
          <w:sz w:val="22"/>
          <w:szCs w:val="22"/>
          <w:shd w:val="clear" w:color="auto" w:fill="auto"/>
        </w:rPr>
        <w:t>: The implementation of BSC often prioritizes measurable KPIs over qualitative factors like culture or leadership (Busco &amp; Quattrone, 2015).</w:t>
      </w:r>
    </w:p>
    <w:p w14:paraId="60F8F783">
      <w:pPr>
        <w:pStyle w:val="9"/>
        <w:keepNext w:val="0"/>
        <w:keepLines w:val="0"/>
        <w:widowControl/>
        <w:numPr>
          <w:ilvl w:val="1"/>
          <w:numId w:val="2"/>
        </w:numPr>
        <w:suppressLineNumbers w:val="0"/>
        <w:spacing w:line="360" w:lineRule="auto"/>
        <w:ind w:left="425" w:leftChars="0" w:hanging="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Outdated Dimensions</w:t>
      </w:r>
      <w:r>
        <w:rPr>
          <w:rFonts w:hint="default" w:ascii="Arial" w:hAnsi="Arial" w:cs="Arial"/>
          <w:sz w:val="22"/>
          <w:szCs w:val="22"/>
          <w:shd w:val="clear" w:color="auto" w:fill="auto"/>
        </w:rPr>
        <w:t xml:space="preserve">: The growing importance of </w:t>
      </w:r>
      <w:r>
        <w:rPr>
          <w:rStyle w:val="10"/>
          <w:rFonts w:hint="default" w:ascii="Arial" w:hAnsi="Arial" w:cs="Arial"/>
          <w:sz w:val="22"/>
          <w:szCs w:val="22"/>
          <w:shd w:val="clear" w:color="auto" w:fill="auto"/>
        </w:rPr>
        <w:t>sustainability</w:t>
      </w:r>
      <w:r>
        <w:rPr>
          <w:rFonts w:hint="default" w:ascii="Arial" w:hAnsi="Arial" w:cs="Arial"/>
          <w:sz w:val="22"/>
          <w:szCs w:val="22"/>
          <w:shd w:val="clear" w:color="auto" w:fill="auto"/>
        </w:rPr>
        <w:t xml:space="preserve">, </w:t>
      </w:r>
      <w:r>
        <w:rPr>
          <w:rStyle w:val="10"/>
          <w:rFonts w:hint="default" w:ascii="Arial" w:hAnsi="Arial" w:cs="Arial"/>
          <w:sz w:val="22"/>
          <w:szCs w:val="22"/>
          <w:shd w:val="clear" w:color="auto" w:fill="auto"/>
        </w:rPr>
        <w:t>digital transformation</w:t>
      </w:r>
      <w:r>
        <w:rPr>
          <w:rFonts w:hint="default" w:ascii="Arial" w:hAnsi="Arial" w:cs="Arial"/>
          <w:sz w:val="22"/>
          <w:szCs w:val="22"/>
          <w:shd w:val="clear" w:color="auto" w:fill="auto"/>
        </w:rPr>
        <w:t xml:space="preserve">, and </w:t>
      </w:r>
      <w:r>
        <w:rPr>
          <w:rStyle w:val="10"/>
          <w:rFonts w:hint="default" w:ascii="Arial" w:hAnsi="Arial" w:cs="Arial"/>
          <w:sz w:val="22"/>
          <w:szCs w:val="22"/>
          <w:shd w:val="clear" w:color="auto" w:fill="auto"/>
        </w:rPr>
        <w:t>stakeholder diversity</w:t>
      </w:r>
      <w:r>
        <w:rPr>
          <w:rFonts w:hint="default" w:ascii="Arial" w:hAnsi="Arial" w:cs="Arial"/>
          <w:sz w:val="22"/>
          <w:szCs w:val="22"/>
          <w:shd w:val="clear" w:color="auto" w:fill="auto"/>
        </w:rPr>
        <w:t xml:space="preserve"> suggests that the traditional four perspectives may not fully capture modern strategic priorities (Cardinaels &amp; van Veen-Dirks, 2010).</w:t>
      </w:r>
    </w:p>
    <w:p w14:paraId="68906F6F">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Nonetheless, the BSC remains valuable when tailored to an organization’s context and strategy.</w:t>
      </w:r>
    </w:p>
    <w:p w14:paraId="5ED21C91">
      <w:pPr>
        <w:pStyle w:val="3"/>
        <w:keepNext w:val="0"/>
        <w:keepLines w:val="0"/>
        <w:widowControl/>
        <w:suppressLineNumbers w:val="0"/>
        <w:spacing w:line="360" w:lineRule="auto"/>
        <w:rPr>
          <w:rFonts w:hint="default" w:ascii="Arial" w:hAnsi="Arial" w:cs="Arial"/>
          <w:sz w:val="22"/>
          <w:szCs w:val="22"/>
          <w:shd w:val="clear" w:color="auto" w:fill="auto"/>
        </w:rPr>
      </w:pPr>
      <w:bookmarkStart w:id="11" w:name="_Toc7319"/>
      <w:r>
        <w:rPr>
          <w:rFonts w:hint="default" w:ascii="Arial" w:hAnsi="Arial" w:cs="Arial"/>
          <w:sz w:val="22"/>
          <w:szCs w:val="22"/>
          <w:shd w:val="clear" w:color="auto" w:fill="auto"/>
        </w:rPr>
        <w:t>3.3 Adidas’s Strategic Vision</w:t>
      </w:r>
      <w:bookmarkEnd w:id="11"/>
    </w:p>
    <w:p w14:paraId="41D36961">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Adidas’s corporate strategy revolves around:</w:t>
      </w:r>
    </w:p>
    <w:p w14:paraId="14797051">
      <w:pPr>
        <w:pStyle w:val="9"/>
        <w:keepNext w:val="0"/>
        <w:keepLines w:val="0"/>
        <w:widowControl/>
        <w:numPr>
          <w:ilvl w:val="0"/>
          <w:numId w:val="3"/>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Brand credibility and desirability</w:t>
      </w:r>
    </w:p>
    <w:p w14:paraId="0D68EAE1">
      <w:pPr>
        <w:pStyle w:val="9"/>
        <w:keepNext w:val="0"/>
        <w:keepLines w:val="0"/>
        <w:widowControl/>
        <w:numPr>
          <w:ilvl w:val="0"/>
          <w:numId w:val="3"/>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Customer-centric innovation</w:t>
      </w:r>
    </w:p>
    <w:p w14:paraId="75E5AFDA">
      <w:pPr>
        <w:pStyle w:val="9"/>
        <w:keepNext w:val="0"/>
        <w:keepLines w:val="0"/>
        <w:widowControl/>
        <w:numPr>
          <w:ilvl w:val="0"/>
          <w:numId w:val="3"/>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Sustainability and social responsibility</w:t>
      </w:r>
    </w:p>
    <w:p w14:paraId="1B0D6EA4">
      <w:pPr>
        <w:pStyle w:val="9"/>
        <w:keepNext w:val="0"/>
        <w:keepLines w:val="0"/>
        <w:widowControl/>
        <w:numPr>
          <w:ilvl w:val="0"/>
          <w:numId w:val="3"/>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Digital transformation</w:t>
      </w:r>
    </w:p>
    <w:p w14:paraId="61F78600">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These strategic pillars inform the creation of a customized BSC that aligns with Adidas's ambitions.</w:t>
      </w:r>
    </w:p>
    <w:p w14:paraId="535D4A5E">
      <w:pPr>
        <w:pStyle w:val="3"/>
        <w:keepNext w:val="0"/>
        <w:keepLines w:val="0"/>
        <w:widowControl/>
        <w:suppressLineNumbers w:val="0"/>
        <w:spacing w:line="360" w:lineRule="auto"/>
        <w:rPr>
          <w:rFonts w:hint="default" w:ascii="Arial" w:hAnsi="Arial" w:cs="Arial"/>
          <w:sz w:val="22"/>
          <w:szCs w:val="22"/>
          <w:shd w:val="clear" w:color="auto" w:fill="auto"/>
        </w:rPr>
      </w:pPr>
      <w:bookmarkStart w:id="12" w:name="_Toc2843"/>
      <w:r>
        <w:rPr>
          <w:rFonts w:hint="default" w:ascii="Arial" w:hAnsi="Arial" w:cs="Arial"/>
          <w:sz w:val="22"/>
          <w:szCs w:val="22"/>
          <w:shd w:val="clear" w:color="auto" w:fill="auto"/>
        </w:rPr>
        <w:t>3.4 Balanced Scorecard for Adidas AG</w:t>
      </w:r>
      <w:bookmarkEnd w:id="12"/>
    </w:p>
    <w:p w14:paraId="721907C8">
      <w:pPr>
        <w:pStyle w:val="4"/>
        <w:keepNext w:val="0"/>
        <w:keepLines w:val="0"/>
        <w:widowControl/>
        <w:numPr>
          <w:numId w:val="0"/>
        </w:numPr>
        <w:suppressLineNumbers w:val="0"/>
        <w:spacing w:line="360" w:lineRule="auto"/>
        <w:ind w:leftChars="0"/>
        <w:outlineLvl w:val="3"/>
        <w:rPr>
          <w:rFonts w:hint="default" w:ascii="Arial" w:hAnsi="Arial" w:cs="Arial"/>
          <w:sz w:val="22"/>
          <w:szCs w:val="22"/>
          <w:shd w:val="clear" w:color="auto" w:fill="auto"/>
        </w:rPr>
      </w:pPr>
      <w:r>
        <w:rPr>
          <w:rStyle w:val="10"/>
          <w:rFonts w:hint="default" w:ascii="Arial" w:hAnsi="Arial" w:cs="Arial"/>
          <w:b/>
          <w:bCs/>
          <w:sz w:val="22"/>
          <w:szCs w:val="22"/>
          <w:shd w:val="clear" w:color="auto" w:fill="auto"/>
        </w:rPr>
        <w:t>Financial Perspective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2"/>
        <w:gridCol w:w="2147"/>
        <w:gridCol w:w="3533"/>
      </w:tblGrid>
      <w:tr w14:paraId="4C46F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shd w:val="clear" w:color="auto" w:fill="auto"/>
            <w:vAlign w:val="center"/>
          </w:tcPr>
          <w:p w14:paraId="18C51DE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Objective</w:t>
            </w:r>
          </w:p>
        </w:tc>
        <w:tc>
          <w:tcPr>
            <w:tcW w:w="2147" w:type="dxa"/>
            <w:shd w:val="clear" w:color="auto" w:fill="auto"/>
            <w:vAlign w:val="center"/>
          </w:tcPr>
          <w:p w14:paraId="08C523FA">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KPI</w:t>
            </w:r>
          </w:p>
        </w:tc>
        <w:tc>
          <w:tcPr>
            <w:tcW w:w="3533" w:type="dxa"/>
            <w:shd w:val="clear" w:color="auto" w:fill="auto"/>
            <w:vAlign w:val="center"/>
          </w:tcPr>
          <w:p w14:paraId="5196247D">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Target</w:t>
            </w:r>
          </w:p>
        </w:tc>
      </w:tr>
      <w:tr w14:paraId="2719E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shd w:val="clear" w:color="auto" w:fill="auto"/>
            <w:vAlign w:val="center"/>
          </w:tcPr>
          <w:p w14:paraId="76ACA38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Improve profitability</w:t>
            </w:r>
          </w:p>
        </w:tc>
        <w:tc>
          <w:tcPr>
            <w:tcW w:w="2147" w:type="dxa"/>
            <w:shd w:val="clear" w:color="auto" w:fill="auto"/>
            <w:vAlign w:val="center"/>
          </w:tcPr>
          <w:p w14:paraId="08F203A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Profit Margin</w:t>
            </w:r>
          </w:p>
        </w:tc>
        <w:tc>
          <w:tcPr>
            <w:tcW w:w="3533" w:type="dxa"/>
            <w:shd w:val="clear" w:color="auto" w:fill="auto"/>
            <w:vAlign w:val="center"/>
          </w:tcPr>
          <w:p w14:paraId="0A3B128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 12%</w:t>
            </w:r>
          </w:p>
        </w:tc>
      </w:tr>
      <w:tr w14:paraId="4A348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shd w:val="clear" w:color="auto" w:fill="auto"/>
            <w:vAlign w:val="center"/>
          </w:tcPr>
          <w:p w14:paraId="7087C75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Maximize shareholder value</w:t>
            </w:r>
          </w:p>
        </w:tc>
        <w:tc>
          <w:tcPr>
            <w:tcW w:w="2147" w:type="dxa"/>
            <w:shd w:val="clear" w:color="auto" w:fill="auto"/>
            <w:vAlign w:val="center"/>
          </w:tcPr>
          <w:p w14:paraId="3C78CB7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ROE, EPS</w:t>
            </w:r>
          </w:p>
        </w:tc>
        <w:tc>
          <w:tcPr>
            <w:tcW w:w="3533" w:type="dxa"/>
            <w:shd w:val="clear" w:color="auto" w:fill="auto"/>
            <w:vAlign w:val="center"/>
          </w:tcPr>
          <w:p w14:paraId="7D664BA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ROE &gt; 25%; EPS growth 10% YoY</w:t>
            </w:r>
          </w:p>
        </w:tc>
      </w:tr>
      <w:tr w14:paraId="7795C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shd w:val="clear" w:color="auto" w:fill="auto"/>
            <w:vAlign w:val="center"/>
          </w:tcPr>
          <w:p w14:paraId="40C7BC2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Optimize cost efficiency</w:t>
            </w:r>
          </w:p>
        </w:tc>
        <w:tc>
          <w:tcPr>
            <w:tcW w:w="2147" w:type="dxa"/>
            <w:shd w:val="clear" w:color="auto" w:fill="auto"/>
            <w:vAlign w:val="center"/>
          </w:tcPr>
          <w:p w14:paraId="529683F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Cost-to-revenue ratio</w:t>
            </w:r>
          </w:p>
        </w:tc>
        <w:tc>
          <w:tcPr>
            <w:tcW w:w="3533" w:type="dxa"/>
            <w:shd w:val="clear" w:color="auto" w:fill="auto"/>
            <w:vAlign w:val="center"/>
          </w:tcPr>
          <w:p w14:paraId="0041A2A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Reduce by 2% annually</w:t>
            </w:r>
          </w:p>
        </w:tc>
      </w:tr>
    </w:tbl>
    <w:p w14:paraId="20668BA8">
      <w:pPr>
        <w:pStyle w:val="4"/>
        <w:keepNext w:val="0"/>
        <w:keepLines w:val="0"/>
        <w:widowControl/>
        <w:suppressLineNumbers w:val="0"/>
        <w:spacing w:line="360" w:lineRule="auto"/>
        <w:rPr>
          <w:rStyle w:val="10"/>
          <w:rFonts w:hint="default" w:ascii="Arial" w:hAnsi="Arial" w:cs="Arial"/>
          <w:b/>
          <w:bCs/>
          <w:sz w:val="22"/>
          <w:szCs w:val="22"/>
          <w:shd w:val="clear" w:color="auto" w:fill="auto"/>
        </w:rPr>
      </w:pPr>
    </w:p>
    <w:p w14:paraId="6625DBAD">
      <w:pPr>
        <w:pStyle w:val="4"/>
        <w:keepNext w:val="0"/>
        <w:keepLines w:val="0"/>
        <w:widowControl/>
        <w:suppressLineNumbers w:val="0"/>
        <w:spacing w:line="360" w:lineRule="auto"/>
        <w:rPr>
          <w:rStyle w:val="10"/>
          <w:rFonts w:hint="default" w:ascii="Arial" w:hAnsi="Arial" w:cs="Arial"/>
          <w:b/>
          <w:bCs/>
          <w:sz w:val="22"/>
          <w:szCs w:val="22"/>
          <w:shd w:val="clear" w:color="auto" w:fill="auto"/>
        </w:rPr>
      </w:pPr>
    </w:p>
    <w:p w14:paraId="2C940E09">
      <w:pPr>
        <w:pStyle w:val="4"/>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b/>
          <w:bCs/>
          <w:sz w:val="22"/>
          <w:szCs w:val="22"/>
          <w:shd w:val="clear" w:color="auto" w:fill="auto"/>
        </w:rPr>
        <w:t>Customer Perspective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673"/>
        <w:gridCol w:w="3215"/>
        <w:gridCol w:w="1634"/>
      </w:tblGrid>
      <w:tr w14:paraId="4B6FF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673" w:type="dxa"/>
            <w:shd w:val="clear" w:color="auto" w:fill="auto"/>
            <w:vAlign w:val="center"/>
          </w:tcPr>
          <w:p w14:paraId="3F0C23EC">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Objective</w:t>
            </w:r>
          </w:p>
        </w:tc>
        <w:tc>
          <w:tcPr>
            <w:tcW w:w="3215" w:type="dxa"/>
            <w:shd w:val="clear" w:color="auto" w:fill="auto"/>
            <w:vAlign w:val="center"/>
          </w:tcPr>
          <w:p w14:paraId="47659834">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KPI</w:t>
            </w:r>
          </w:p>
        </w:tc>
        <w:tc>
          <w:tcPr>
            <w:tcW w:w="1634" w:type="dxa"/>
            <w:shd w:val="clear" w:color="auto" w:fill="auto"/>
            <w:vAlign w:val="center"/>
          </w:tcPr>
          <w:p w14:paraId="1BFBE60E">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Target</w:t>
            </w:r>
          </w:p>
        </w:tc>
      </w:tr>
      <w:tr w14:paraId="3648D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673" w:type="dxa"/>
            <w:shd w:val="clear" w:color="auto" w:fill="auto"/>
            <w:vAlign w:val="center"/>
          </w:tcPr>
          <w:p w14:paraId="6134EED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Increase customer satisfaction</w:t>
            </w:r>
          </w:p>
        </w:tc>
        <w:tc>
          <w:tcPr>
            <w:tcW w:w="3215" w:type="dxa"/>
            <w:shd w:val="clear" w:color="auto" w:fill="auto"/>
            <w:vAlign w:val="center"/>
          </w:tcPr>
          <w:p w14:paraId="7E982CC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Promoter Score (NPS)</w:t>
            </w:r>
          </w:p>
        </w:tc>
        <w:tc>
          <w:tcPr>
            <w:tcW w:w="1634" w:type="dxa"/>
            <w:shd w:val="clear" w:color="auto" w:fill="auto"/>
            <w:vAlign w:val="center"/>
          </w:tcPr>
          <w:p w14:paraId="6E10A20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&gt; 70</w:t>
            </w:r>
          </w:p>
        </w:tc>
      </w:tr>
      <w:tr w14:paraId="7BB62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73" w:type="dxa"/>
            <w:shd w:val="clear" w:color="auto" w:fill="auto"/>
            <w:vAlign w:val="center"/>
          </w:tcPr>
          <w:p w14:paraId="28F0905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Strengthen brand loyalty</w:t>
            </w:r>
          </w:p>
        </w:tc>
        <w:tc>
          <w:tcPr>
            <w:tcW w:w="3215" w:type="dxa"/>
            <w:shd w:val="clear" w:color="auto" w:fill="auto"/>
            <w:vAlign w:val="center"/>
          </w:tcPr>
          <w:p w14:paraId="2D4D52A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Repeat purchase rate</w:t>
            </w:r>
          </w:p>
        </w:tc>
        <w:tc>
          <w:tcPr>
            <w:tcW w:w="1634" w:type="dxa"/>
            <w:shd w:val="clear" w:color="auto" w:fill="auto"/>
            <w:vAlign w:val="center"/>
          </w:tcPr>
          <w:p w14:paraId="0183577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&gt; 60%</w:t>
            </w:r>
          </w:p>
        </w:tc>
      </w:tr>
      <w:tr w14:paraId="6D9A6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673" w:type="dxa"/>
            <w:shd w:val="clear" w:color="auto" w:fill="auto"/>
            <w:vAlign w:val="center"/>
          </w:tcPr>
          <w:p w14:paraId="0882983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Expand digital customer base</w:t>
            </w:r>
          </w:p>
        </w:tc>
        <w:tc>
          <w:tcPr>
            <w:tcW w:w="3215" w:type="dxa"/>
            <w:shd w:val="clear" w:color="auto" w:fill="auto"/>
            <w:vAlign w:val="center"/>
          </w:tcPr>
          <w:p w14:paraId="3BAB1F4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 sales from e-commerce</w:t>
            </w:r>
          </w:p>
        </w:tc>
        <w:tc>
          <w:tcPr>
            <w:tcW w:w="1634" w:type="dxa"/>
            <w:shd w:val="clear" w:color="auto" w:fill="auto"/>
            <w:vAlign w:val="center"/>
          </w:tcPr>
          <w:p w14:paraId="2D832F7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35% by 2026</w:t>
            </w:r>
          </w:p>
        </w:tc>
      </w:tr>
    </w:tbl>
    <w:p w14:paraId="0B9BDC1E">
      <w:pPr>
        <w:pStyle w:val="4"/>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b/>
          <w:bCs/>
          <w:sz w:val="22"/>
          <w:szCs w:val="22"/>
          <w:shd w:val="clear" w:color="auto" w:fill="auto"/>
        </w:rPr>
        <w:t>Internal Process Perspective</w:t>
      </w:r>
    </w:p>
    <w:tbl>
      <w:tblPr>
        <w:tblStyle w:val="11"/>
        <w:tblW w:w="8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4"/>
        <w:gridCol w:w="3096"/>
        <w:gridCol w:w="2558"/>
      </w:tblGrid>
      <w:tr w14:paraId="0B754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2" w:hRule="atLeast"/>
        </w:trPr>
        <w:tc>
          <w:tcPr>
            <w:tcW w:w="3084" w:type="dxa"/>
            <w:shd w:val="clear" w:color="auto" w:fill="auto"/>
            <w:vAlign w:val="center"/>
          </w:tcPr>
          <w:p w14:paraId="3F849C37">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Objective</w:t>
            </w:r>
          </w:p>
        </w:tc>
        <w:tc>
          <w:tcPr>
            <w:tcW w:w="3096" w:type="dxa"/>
            <w:shd w:val="clear" w:color="auto" w:fill="auto"/>
            <w:vAlign w:val="center"/>
          </w:tcPr>
          <w:p w14:paraId="043166D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KPI</w:t>
            </w:r>
          </w:p>
        </w:tc>
        <w:tc>
          <w:tcPr>
            <w:tcW w:w="2558" w:type="dxa"/>
            <w:shd w:val="clear" w:color="auto" w:fill="auto"/>
            <w:vAlign w:val="center"/>
          </w:tcPr>
          <w:p w14:paraId="049D6E70">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Target</w:t>
            </w:r>
          </w:p>
        </w:tc>
      </w:tr>
      <w:tr w14:paraId="3F55E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3084" w:type="dxa"/>
            <w:shd w:val="clear" w:color="auto" w:fill="auto"/>
            <w:vAlign w:val="center"/>
          </w:tcPr>
          <w:p w14:paraId="60312A6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Improve supply chain agility</w:t>
            </w:r>
          </w:p>
        </w:tc>
        <w:tc>
          <w:tcPr>
            <w:tcW w:w="3096" w:type="dxa"/>
            <w:shd w:val="clear" w:color="auto" w:fill="auto"/>
            <w:vAlign w:val="center"/>
          </w:tcPr>
          <w:p w14:paraId="5A12924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Lead time (order to delivery)</w:t>
            </w:r>
          </w:p>
        </w:tc>
        <w:tc>
          <w:tcPr>
            <w:tcW w:w="2558" w:type="dxa"/>
            <w:shd w:val="clear" w:color="auto" w:fill="auto"/>
            <w:vAlign w:val="center"/>
          </w:tcPr>
          <w:p w14:paraId="0A0161F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&lt; 10 days</w:t>
            </w:r>
          </w:p>
        </w:tc>
      </w:tr>
      <w:tr w14:paraId="09180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trPr>
        <w:tc>
          <w:tcPr>
            <w:tcW w:w="3084" w:type="dxa"/>
            <w:shd w:val="clear" w:color="auto" w:fill="auto"/>
            <w:vAlign w:val="center"/>
          </w:tcPr>
          <w:p w14:paraId="661EADC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Enhance product innovation</w:t>
            </w:r>
          </w:p>
        </w:tc>
        <w:tc>
          <w:tcPr>
            <w:tcW w:w="3096" w:type="dxa"/>
            <w:shd w:val="clear" w:color="auto" w:fill="auto"/>
            <w:vAlign w:val="center"/>
          </w:tcPr>
          <w:p w14:paraId="2B313BB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 of new product revenue</w:t>
            </w:r>
          </w:p>
        </w:tc>
        <w:tc>
          <w:tcPr>
            <w:tcW w:w="2558" w:type="dxa"/>
            <w:shd w:val="clear" w:color="auto" w:fill="auto"/>
            <w:vAlign w:val="center"/>
          </w:tcPr>
          <w:p w14:paraId="5841BEB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 25%</w:t>
            </w:r>
          </w:p>
        </w:tc>
      </w:tr>
      <w:tr w14:paraId="75114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3" w:hRule="atLeast"/>
        </w:trPr>
        <w:tc>
          <w:tcPr>
            <w:tcW w:w="3084" w:type="dxa"/>
            <w:shd w:val="clear" w:color="auto" w:fill="auto"/>
            <w:vAlign w:val="center"/>
          </w:tcPr>
          <w:p w14:paraId="1A9A7B6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Reduce carbon footprint</w:t>
            </w:r>
          </w:p>
        </w:tc>
        <w:tc>
          <w:tcPr>
            <w:tcW w:w="3096" w:type="dxa"/>
            <w:shd w:val="clear" w:color="auto" w:fill="auto"/>
            <w:vAlign w:val="center"/>
          </w:tcPr>
          <w:p w14:paraId="3553063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Emissions per product</w:t>
            </w:r>
          </w:p>
        </w:tc>
        <w:tc>
          <w:tcPr>
            <w:tcW w:w="2558" w:type="dxa"/>
            <w:shd w:val="clear" w:color="auto" w:fill="auto"/>
            <w:vAlign w:val="center"/>
          </w:tcPr>
          <w:p w14:paraId="7FEFF83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15% reduction by 2026</w:t>
            </w:r>
          </w:p>
        </w:tc>
      </w:tr>
    </w:tbl>
    <w:p w14:paraId="45018553">
      <w:pPr>
        <w:pStyle w:val="4"/>
        <w:keepNext w:val="0"/>
        <w:keepLines w:val="0"/>
        <w:widowControl/>
        <w:suppressLineNumbers w:val="0"/>
        <w:spacing w:line="360" w:lineRule="auto"/>
        <w:rPr>
          <w:rFonts w:hint="default" w:ascii="Arial" w:hAnsi="Arial" w:cs="Arial"/>
          <w:sz w:val="22"/>
          <w:szCs w:val="22"/>
          <w:shd w:val="clear" w:color="auto" w:fill="auto"/>
        </w:rPr>
      </w:pPr>
      <w:r>
        <w:rPr>
          <w:rStyle w:val="10"/>
          <w:rFonts w:hint="default" w:ascii="Arial" w:hAnsi="Arial" w:cs="Arial"/>
          <w:b/>
          <w:bCs/>
          <w:sz w:val="22"/>
          <w:szCs w:val="22"/>
          <w:shd w:val="clear" w:color="auto" w:fill="auto"/>
        </w:rPr>
        <w:t>Learning &amp; Growth Perspective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4"/>
        <w:gridCol w:w="1998"/>
        <w:gridCol w:w="3960"/>
      </w:tblGrid>
      <w:tr w14:paraId="689E0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4" w:type="dxa"/>
            <w:shd w:val="clear" w:color="auto" w:fill="auto"/>
            <w:vAlign w:val="center"/>
          </w:tcPr>
          <w:p w14:paraId="3FE0B824">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Objective</w:t>
            </w:r>
          </w:p>
        </w:tc>
        <w:tc>
          <w:tcPr>
            <w:tcW w:w="1998" w:type="dxa"/>
            <w:shd w:val="clear" w:color="auto" w:fill="auto"/>
            <w:vAlign w:val="center"/>
          </w:tcPr>
          <w:p w14:paraId="780A9851">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KPI</w:t>
            </w:r>
          </w:p>
        </w:tc>
        <w:tc>
          <w:tcPr>
            <w:tcW w:w="3960" w:type="dxa"/>
            <w:shd w:val="clear" w:color="auto" w:fill="auto"/>
            <w:vAlign w:val="center"/>
          </w:tcPr>
          <w:p w14:paraId="1355450B">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Target</w:t>
            </w:r>
          </w:p>
        </w:tc>
      </w:tr>
      <w:tr w14:paraId="1DDC0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4" w:type="dxa"/>
            <w:shd w:val="clear" w:color="auto" w:fill="auto"/>
            <w:vAlign w:val="center"/>
          </w:tcPr>
          <w:p w14:paraId="1A29AA4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Foster employee development</w:t>
            </w:r>
          </w:p>
        </w:tc>
        <w:tc>
          <w:tcPr>
            <w:tcW w:w="1998" w:type="dxa"/>
            <w:shd w:val="clear" w:color="auto" w:fill="auto"/>
            <w:vAlign w:val="center"/>
          </w:tcPr>
          <w:p w14:paraId="221CA66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Training hours per FTE</w:t>
            </w:r>
          </w:p>
        </w:tc>
        <w:tc>
          <w:tcPr>
            <w:tcW w:w="3960" w:type="dxa"/>
            <w:shd w:val="clear" w:color="auto" w:fill="auto"/>
            <w:vAlign w:val="center"/>
          </w:tcPr>
          <w:p w14:paraId="399E0F1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 40 hours/year</w:t>
            </w:r>
          </w:p>
        </w:tc>
      </w:tr>
      <w:tr w14:paraId="225C0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4" w:type="dxa"/>
            <w:shd w:val="clear" w:color="auto" w:fill="auto"/>
            <w:vAlign w:val="center"/>
          </w:tcPr>
          <w:p w14:paraId="4F0B1ED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Enhance digital capabilities</w:t>
            </w:r>
          </w:p>
        </w:tc>
        <w:tc>
          <w:tcPr>
            <w:tcW w:w="1998" w:type="dxa"/>
            <w:shd w:val="clear" w:color="auto" w:fill="auto"/>
            <w:vAlign w:val="center"/>
          </w:tcPr>
          <w:p w14:paraId="6CD466A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Investment in tech &amp; AI</w:t>
            </w:r>
          </w:p>
        </w:tc>
        <w:tc>
          <w:tcPr>
            <w:tcW w:w="3960" w:type="dxa"/>
            <w:shd w:val="clear" w:color="auto" w:fill="auto"/>
            <w:vAlign w:val="center"/>
          </w:tcPr>
          <w:p w14:paraId="7F7C263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Increase 10% annually</w:t>
            </w:r>
          </w:p>
        </w:tc>
      </w:tr>
      <w:tr w14:paraId="2C7AD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4" w:type="dxa"/>
            <w:shd w:val="clear" w:color="auto" w:fill="auto"/>
            <w:vAlign w:val="center"/>
          </w:tcPr>
          <w:p w14:paraId="6F5A2ED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Promote inclusive culture</w:t>
            </w:r>
          </w:p>
        </w:tc>
        <w:tc>
          <w:tcPr>
            <w:tcW w:w="1998" w:type="dxa"/>
            <w:shd w:val="clear" w:color="auto" w:fill="auto"/>
            <w:vAlign w:val="center"/>
          </w:tcPr>
          <w:p w14:paraId="2A388CF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Diversity index</w:t>
            </w:r>
          </w:p>
        </w:tc>
        <w:tc>
          <w:tcPr>
            <w:tcW w:w="3960" w:type="dxa"/>
            <w:shd w:val="clear" w:color="auto" w:fill="auto"/>
            <w:vAlign w:val="center"/>
          </w:tcPr>
          <w:p w14:paraId="2E2693C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50%+ leadership roles held by women/minorities</w:t>
            </w:r>
          </w:p>
        </w:tc>
      </w:tr>
    </w:tbl>
    <w:p w14:paraId="5FF650A8">
      <w:pPr>
        <w:keepNext w:val="0"/>
        <w:keepLines w:val="0"/>
        <w:widowControl/>
        <w:suppressLineNumbers w:val="0"/>
        <w:spacing w:line="360" w:lineRule="auto"/>
        <w:rPr>
          <w:rFonts w:hint="default" w:ascii="Arial" w:hAnsi="Arial" w:cs="Arial"/>
          <w:sz w:val="22"/>
          <w:szCs w:val="22"/>
          <w:shd w:val="clear" w:color="auto" w:fill="auto"/>
        </w:rPr>
      </w:pPr>
    </w:p>
    <w:p w14:paraId="19E1B606">
      <w:pPr>
        <w:pStyle w:val="3"/>
        <w:keepNext w:val="0"/>
        <w:keepLines w:val="0"/>
        <w:widowControl/>
        <w:suppressLineNumbers w:val="0"/>
        <w:spacing w:line="360" w:lineRule="auto"/>
        <w:rPr>
          <w:rFonts w:hint="default" w:ascii="Arial" w:hAnsi="Arial" w:cs="Arial"/>
          <w:sz w:val="22"/>
          <w:szCs w:val="22"/>
          <w:shd w:val="clear" w:color="auto" w:fill="auto"/>
        </w:rPr>
      </w:pPr>
    </w:p>
    <w:p w14:paraId="51A155F3">
      <w:pPr>
        <w:pStyle w:val="3"/>
        <w:keepNext w:val="0"/>
        <w:keepLines w:val="0"/>
        <w:widowControl/>
        <w:suppressLineNumbers w:val="0"/>
        <w:spacing w:line="360" w:lineRule="auto"/>
        <w:rPr>
          <w:rFonts w:hint="default" w:ascii="Arial" w:hAnsi="Arial" w:cs="Arial"/>
          <w:sz w:val="22"/>
          <w:szCs w:val="22"/>
          <w:shd w:val="clear" w:color="auto" w:fill="auto"/>
        </w:rPr>
      </w:pPr>
    </w:p>
    <w:p w14:paraId="6C10FEC2">
      <w:pPr>
        <w:pStyle w:val="3"/>
        <w:keepNext w:val="0"/>
        <w:keepLines w:val="0"/>
        <w:widowControl/>
        <w:suppressLineNumbers w:val="0"/>
        <w:spacing w:line="360" w:lineRule="auto"/>
        <w:rPr>
          <w:rFonts w:hint="default" w:ascii="Arial" w:hAnsi="Arial" w:cs="Arial"/>
          <w:sz w:val="22"/>
          <w:szCs w:val="22"/>
          <w:shd w:val="clear" w:color="auto" w:fill="auto"/>
        </w:rPr>
      </w:pPr>
    </w:p>
    <w:p w14:paraId="6C98156F">
      <w:pPr>
        <w:pStyle w:val="3"/>
        <w:keepNext w:val="0"/>
        <w:keepLines w:val="0"/>
        <w:widowControl/>
        <w:suppressLineNumbers w:val="0"/>
        <w:spacing w:line="360" w:lineRule="auto"/>
        <w:rPr>
          <w:rFonts w:hint="default" w:ascii="Arial" w:hAnsi="Arial" w:cs="Arial"/>
          <w:sz w:val="22"/>
          <w:szCs w:val="22"/>
          <w:shd w:val="clear" w:color="auto" w:fill="auto"/>
        </w:rPr>
      </w:pPr>
    </w:p>
    <w:p w14:paraId="1F2C75EF">
      <w:pPr>
        <w:pStyle w:val="3"/>
        <w:keepNext w:val="0"/>
        <w:keepLines w:val="0"/>
        <w:widowControl/>
        <w:suppressLineNumbers w:val="0"/>
        <w:spacing w:line="360" w:lineRule="auto"/>
        <w:rPr>
          <w:rFonts w:hint="default" w:ascii="Arial" w:hAnsi="Arial" w:cs="Arial"/>
          <w:sz w:val="22"/>
          <w:szCs w:val="22"/>
          <w:shd w:val="clear" w:color="auto" w:fill="auto"/>
        </w:rPr>
      </w:pPr>
      <w:bookmarkStart w:id="13" w:name="_Toc27239"/>
      <w:r>
        <w:rPr>
          <w:rFonts w:hint="default" w:ascii="Arial" w:hAnsi="Arial" w:cs="Arial"/>
          <w:sz w:val="22"/>
          <w:szCs w:val="22"/>
          <w:shd w:val="clear" w:color="auto" w:fill="auto"/>
        </w:rPr>
        <w:t>3.5 Critical Success Factors (CSFs)</w:t>
      </w:r>
      <w:bookmarkEnd w:id="13"/>
    </w:p>
    <w:p w14:paraId="16F8EF1C">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From the BSC, Adidas’s CSFs include:</w:t>
      </w:r>
    </w:p>
    <w:p w14:paraId="5748C318">
      <w:pPr>
        <w:pStyle w:val="9"/>
        <w:keepNext w:val="0"/>
        <w:keepLines w:val="0"/>
        <w:widowControl/>
        <w:numPr>
          <w:ilvl w:val="1"/>
          <w:numId w:val="3"/>
        </w:numPr>
        <w:suppressLineNumbers w:val="0"/>
        <w:spacing w:line="360" w:lineRule="auto"/>
        <w:ind w:left="84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Continuous innovation in design and technology</w:t>
      </w:r>
    </w:p>
    <w:p w14:paraId="08C6AA28">
      <w:pPr>
        <w:pStyle w:val="9"/>
        <w:keepNext w:val="0"/>
        <w:keepLines w:val="0"/>
        <w:widowControl/>
        <w:numPr>
          <w:ilvl w:val="1"/>
          <w:numId w:val="3"/>
        </w:numPr>
        <w:suppressLineNumbers w:val="0"/>
        <w:spacing w:line="360" w:lineRule="auto"/>
        <w:ind w:left="84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Digital transformation in both operations and marketing</w:t>
      </w:r>
    </w:p>
    <w:p w14:paraId="4D41292E">
      <w:pPr>
        <w:pStyle w:val="9"/>
        <w:keepNext w:val="0"/>
        <w:keepLines w:val="0"/>
        <w:widowControl/>
        <w:numPr>
          <w:ilvl w:val="1"/>
          <w:numId w:val="3"/>
        </w:numPr>
        <w:suppressLineNumbers w:val="0"/>
        <w:spacing w:line="360" w:lineRule="auto"/>
        <w:ind w:left="84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Supply chain optimization</w:t>
      </w:r>
    </w:p>
    <w:p w14:paraId="772E763A">
      <w:pPr>
        <w:pStyle w:val="9"/>
        <w:keepNext w:val="0"/>
        <w:keepLines w:val="0"/>
        <w:widowControl/>
        <w:numPr>
          <w:ilvl w:val="1"/>
          <w:numId w:val="3"/>
        </w:numPr>
        <w:suppressLineNumbers w:val="0"/>
        <w:spacing w:line="360" w:lineRule="auto"/>
        <w:ind w:left="84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Employee engagement and upskilling</w:t>
      </w:r>
    </w:p>
    <w:p w14:paraId="7E0220D4">
      <w:pPr>
        <w:pStyle w:val="9"/>
        <w:keepNext w:val="0"/>
        <w:keepLines w:val="0"/>
        <w:widowControl/>
        <w:numPr>
          <w:ilvl w:val="1"/>
          <w:numId w:val="3"/>
        </w:numPr>
        <w:suppressLineNumbers w:val="0"/>
        <w:spacing w:line="360" w:lineRule="auto"/>
        <w:ind w:left="84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Environmental sustainability</w:t>
      </w:r>
    </w:p>
    <w:p w14:paraId="0351B8BF">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These CSFs support Adidas’s ability to outperform competitors and deliver long-term stakeholder value.</w:t>
      </w:r>
    </w:p>
    <w:p w14:paraId="63314359">
      <w:pPr>
        <w:pStyle w:val="3"/>
        <w:keepNext w:val="0"/>
        <w:keepLines w:val="0"/>
        <w:widowControl/>
        <w:suppressLineNumbers w:val="0"/>
        <w:spacing w:line="360" w:lineRule="auto"/>
        <w:rPr>
          <w:rFonts w:hint="default" w:ascii="Arial" w:hAnsi="Arial" w:cs="Arial"/>
          <w:sz w:val="22"/>
          <w:szCs w:val="22"/>
          <w:shd w:val="clear" w:color="auto" w:fill="auto"/>
        </w:rPr>
      </w:pPr>
      <w:bookmarkStart w:id="14" w:name="_Toc14575"/>
      <w:r>
        <w:rPr>
          <w:rFonts w:hint="default" w:ascii="Arial" w:hAnsi="Arial" w:cs="Arial"/>
          <w:sz w:val="22"/>
          <w:szCs w:val="22"/>
          <w:shd w:val="clear" w:color="auto" w:fill="auto"/>
        </w:rPr>
        <w:t>3.6 Discussion</w:t>
      </w:r>
      <w:bookmarkEnd w:id="14"/>
    </w:p>
    <w:p w14:paraId="02663724">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Adopting a </w:t>
      </w:r>
      <w:r>
        <w:rPr>
          <w:rStyle w:val="10"/>
          <w:rFonts w:hint="default" w:ascii="Arial" w:hAnsi="Arial" w:cs="Arial"/>
          <w:sz w:val="22"/>
          <w:szCs w:val="22"/>
          <w:shd w:val="clear" w:color="auto" w:fill="auto"/>
        </w:rPr>
        <w:t>customized BSC</w:t>
      </w:r>
      <w:r>
        <w:rPr>
          <w:rFonts w:hint="default" w:ascii="Arial" w:hAnsi="Arial" w:cs="Arial"/>
          <w:sz w:val="22"/>
          <w:szCs w:val="22"/>
          <w:shd w:val="clear" w:color="auto" w:fill="auto"/>
        </w:rPr>
        <w:t xml:space="preserve"> offers Adidas a structured method to translate strategy into actionable goals. By integrating sustainability and digitalization into the traditional framework, Adidas can navigate modern market expectations and competitive pressures.</w:t>
      </w:r>
    </w:p>
    <w:p w14:paraId="7A2732CD">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Furthermore, the BSC reinforces internal alignment—helping departments coordinate efforts toward shared outcomes. It also allows management to monitor long-term initiatives rather than focusing solely on short-term financial results.</w:t>
      </w:r>
    </w:p>
    <w:p w14:paraId="79B9D6A7">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However, the effective use of BSC depends on strong </w:t>
      </w:r>
      <w:r>
        <w:rPr>
          <w:rStyle w:val="10"/>
          <w:rFonts w:hint="default" w:ascii="Arial" w:hAnsi="Arial" w:cs="Arial"/>
          <w:sz w:val="22"/>
          <w:szCs w:val="22"/>
          <w:shd w:val="clear" w:color="auto" w:fill="auto"/>
        </w:rPr>
        <w:t>strategic communication</w:t>
      </w:r>
      <w:r>
        <w:rPr>
          <w:rFonts w:hint="default" w:ascii="Arial" w:hAnsi="Arial" w:cs="Arial"/>
          <w:sz w:val="22"/>
          <w:szCs w:val="22"/>
          <w:shd w:val="clear" w:color="auto" w:fill="auto"/>
        </w:rPr>
        <w:t xml:space="preserve">, </w:t>
      </w:r>
      <w:r>
        <w:rPr>
          <w:rStyle w:val="10"/>
          <w:rFonts w:hint="default" w:ascii="Arial" w:hAnsi="Arial" w:cs="Arial"/>
          <w:sz w:val="22"/>
          <w:szCs w:val="22"/>
          <w:shd w:val="clear" w:color="auto" w:fill="auto"/>
        </w:rPr>
        <w:t>data infrastructure</w:t>
      </w:r>
      <w:r>
        <w:rPr>
          <w:rFonts w:hint="default" w:ascii="Arial" w:hAnsi="Arial" w:cs="Arial"/>
          <w:sz w:val="22"/>
          <w:szCs w:val="22"/>
          <w:shd w:val="clear" w:color="auto" w:fill="auto"/>
        </w:rPr>
        <w:t xml:space="preserve">, and </w:t>
      </w:r>
      <w:r>
        <w:rPr>
          <w:rStyle w:val="10"/>
          <w:rFonts w:hint="default" w:ascii="Arial" w:hAnsi="Arial" w:cs="Arial"/>
          <w:sz w:val="22"/>
          <w:szCs w:val="22"/>
          <w:shd w:val="clear" w:color="auto" w:fill="auto"/>
        </w:rPr>
        <w:t>organizational buy-in</w:t>
      </w:r>
      <w:r>
        <w:rPr>
          <w:rFonts w:hint="default" w:ascii="Arial" w:hAnsi="Arial" w:cs="Arial"/>
          <w:sz w:val="22"/>
          <w:szCs w:val="22"/>
          <w:shd w:val="clear" w:color="auto" w:fill="auto"/>
        </w:rPr>
        <w:t>. Without these, even well-designed scorecards can become checklists rather than dynamic strategy tools.</w:t>
      </w:r>
    </w:p>
    <w:p w14:paraId="1D768113">
      <w:pPr>
        <w:pStyle w:val="2"/>
        <w:keepNext w:val="0"/>
        <w:keepLines w:val="0"/>
        <w:widowControl/>
        <w:suppressLineNumbers w:val="0"/>
        <w:spacing w:line="360" w:lineRule="auto"/>
        <w:rPr>
          <w:rFonts w:hint="default" w:ascii="Arial" w:hAnsi="Arial" w:cs="Arial"/>
          <w:sz w:val="24"/>
          <w:szCs w:val="24"/>
          <w:shd w:val="clear" w:color="auto" w:fill="auto"/>
        </w:rPr>
      </w:pPr>
      <w:bookmarkStart w:id="15" w:name="_Toc321"/>
      <w:r>
        <w:rPr>
          <w:rStyle w:val="10"/>
          <w:rFonts w:hint="default" w:ascii="Arial" w:hAnsi="Arial" w:cs="Arial"/>
          <w:b/>
          <w:bCs/>
          <w:sz w:val="24"/>
          <w:szCs w:val="24"/>
          <w:shd w:val="clear" w:color="auto" w:fill="auto"/>
        </w:rPr>
        <w:t>4. Integrated Reporting (IR) – Critical Analysis</w:t>
      </w:r>
      <w:bookmarkEnd w:id="15"/>
    </w:p>
    <w:p w14:paraId="441DCD58">
      <w:pPr>
        <w:pStyle w:val="3"/>
        <w:keepNext w:val="0"/>
        <w:keepLines w:val="0"/>
        <w:widowControl/>
        <w:suppressLineNumbers w:val="0"/>
        <w:spacing w:line="360" w:lineRule="auto"/>
        <w:rPr>
          <w:rFonts w:hint="default" w:ascii="Arial" w:hAnsi="Arial" w:cs="Arial"/>
          <w:sz w:val="22"/>
          <w:szCs w:val="22"/>
          <w:shd w:val="clear" w:color="auto" w:fill="auto"/>
        </w:rPr>
      </w:pPr>
      <w:bookmarkStart w:id="16" w:name="_Toc24826"/>
      <w:r>
        <w:rPr>
          <w:rFonts w:hint="default" w:ascii="Arial" w:hAnsi="Arial" w:cs="Arial"/>
          <w:sz w:val="22"/>
          <w:szCs w:val="22"/>
          <w:shd w:val="clear" w:color="auto" w:fill="auto"/>
        </w:rPr>
        <w:t>4.1 Introduction to Integrated Reporting</w:t>
      </w:r>
      <w:bookmarkEnd w:id="16"/>
    </w:p>
    <w:p w14:paraId="3EC99F8B">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Integrated Reporting (&lt;IR&gt;) is a forward-looking corporate reporting model that aims to provide a </w:t>
      </w:r>
      <w:r>
        <w:rPr>
          <w:rStyle w:val="10"/>
          <w:rFonts w:hint="default" w:ascii="Arial" w:hAnsi="Arial" w:cs="Arial"/>
          <w:sz w:val="22"/>
          <w:szCs w:val="22"/>
          <w:shd w:val="clear" w:color="auto" w:fill="auto"/>
        </w:rPr>
        <w:t>holistic picture of an organization's value creation</w:t>
      </w:r>
      <w:r>
        <w:rPr>
          <w:rFonts w:hint="default" w:ascii="Arial" w:hAnsi="Arial" w:cs="Arial"/>
          <w:sz w:val="22"/>
          <w:szCs w:val="22"/>
          <w:shd w:val="clear" w:color="auto" w:fill="auto"/>
        </w:rPr>
        <w:t xml:space="preserve"> over time. Developed by the </w:t>
      </w:r>
      <w:r>
        <w:rPr>
          <w:rStyle w:val="10"/>
          <w:rFonts w:hint="default" w:ascii="Arial" w:hAnsi="Arial" w:cs="Arial"/>
          <w:sz w:val="22"/>
          <w:szCs w:val="22"/>
          <w:shd w:val="clear" w:color="auto" w:fill="auto"/>
        </w:rPr>
        <w:t>International Integrated Reporting Council (IIRC, 2013)</w:t>
      </w:r>
      <w:r>
        <w:rPr>
          <w:rFonts w:hint="default" w:ascii="Arial" w:hAnsi="Arial" w:cs="Arial"/>
          <w:sz w:val="22"/>
          <w:szCs w:val="22"/>
          <w:shd w:val="clear" w:color="auto" w:fill="auto"/>
        </w:rPr>
        <w:t>, the &lt;IR&gt; Framework promotes a shift from traditional financial reporting to a more inclusive communication model that addresses financial, social, and environmental performance in a unified report.</w:t>
      </w:r>
    </w:p>
    <w:p w14:paraId="43494E59">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For a global, innovation-driven company like </w:t>
      </w:r>
      <w:r>
        <w:rPr>
          <w:rStyle w:val="10"/>
          <w:rFonts w:hint="default" w:ascii="Arial" w:hAnsi="Arial" w:cs="Arial"/>
          <w:sz w:val="22"/>
          <w:szCs w:val="22"/>
          <w:shd w:val="clear" w:color="auto" w:fill="auto"/>
        </w:rPr>
        <w:t>Adidas</w:t>
      </w:r>
      <w:r>
        <w:rPr>
          <w:rFonts w:hint="default" w:ascii="Arial" w:hAnsi="Arial" w:cs="Arial"/>
          <w:sz w:val="22"/>
          <w:szCs w:val="22"/>
          <w:shd w:val="clear" w:color="auto" w:fill="auto"/>
        </w:rPr>
        <w:t>, Integrated Reporting represents a valuable opportunity to communicate its long-term strategy and responsible business practices to investors and stakeholders alike.</w:t>
      </w:r>
    </w:p>
    <w:p w14:paraId="1C19FFFD">
      <w:pPr>
        <w:pStyle w:val="3"/>
        <w:keepNext w:val="0"/>
        <w:keepLines w:val="0"/>
        <w:widowControl/>
        <w:suppressLineNumbers w:val="0"/>
        <w:spacing w:line="360" w:lineRule="auto"/>
        <w:rPr>
          <w:rFonts w:hint="default" w:ascii="Arial" w:hAnsi="Arial" w:cs="Arial"/>
          <w:sz w:val="22"/>
          <w:szCs w:val="22"/>
          <w:shd w:val="clear" w:color="auto" w:fill="auto"/>
        </w:rPr>
      </w:pPr>
      <w:bookmarkStart w:id="17" w:name="_Toc23149"/>
      <w:r>
        <w:rPr>
          <w:rFonts w:hint="default" w:ascii="Arial" w:hAnsi="Arial" w:cs="Arial"/>
          <w:sz w:val="22"/>
          <w:szCs w:val="22"/>
          <w:shd w:val="clear" w:color="auto" w:fill="auto"/>
        </w:rPr>
        <w:t>4.2 Benefits of Adopting Integrated Reporting at Adidas</w:t>
      </w:r>
      <w:bookmarkEnd w:id="17"/>
    </w:p>
    <w:p w14:paraId="15C39C47">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 </w:t>
      </w:r>
      <w:r>
        <w:rPr>
          <w:rStyle w:val="10"/>
          <w:rFonts w:hint="default" w:ascii="Arial" w:hAnsi="Arial" w:cs="Arial"/>
          <w:b/>
          <w:bCs/>
          <w:sz w:val="22"/>
          <w:szCs w:val="22"/>
          <w:shd w:val="clear" w:color="auto" w:fill="auto"/>
        </w:rPr>
        <w:t>Enhanced Stakeholder Communication</w:t>
      </w:r>
    </w:p>
    <w:p w14:paraId="3ABC48DE">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Integrated Reporting provides a </w:t>
      </w:r>
      <w:r>
        <w:rPr>
          <w:rStyle w:val="10"/>
          <w:rFonts w:hint="default" w:ascii="Arial" w:hAnsi="Arial" w:cs="Arial"/>
          <w:sz w:val="22"/>
          <w:szCs w:val="22"/>
          <w:shd w:val="clear" w:color="auto" w:fill="auto"/>
        </w:rPr>
        <w:t>comprehensive narrative</w:t>
      </w:r>
      <w:r>
        <w:rPr>
          <w:rFonts w:hint="default" w:ascii="Arial" w:hAnsi="Arial" w:cs="Arial"/>
          <w:sz w:val="22"/>
          <w:szCs w:val="22"/>
          <w:shd w:val="clear" w:color="auto" w:fill="auto"/>
        </w:rPr>
        <w:t xml:space="preserve"> that helps stakeholders understand how Adidas creates value over the short, medium, and long term. It connects financial results with </w:t>
      </w:r>
      <w:r>
        <w:rPr>
          <w:rStyle w:val="10"/>
          <w:rFonts w:hint="default" w:ascii="Arial" w:hAnsi="Arial" w:cs="Arial"/>
          <w:sz w:val="22"/>
          <w:szCs w:val="22"/>
          <w:shd w:val="clear" w:color="auto" w:fill="auto"/>
        </w:rPr>
        <w:t>non-financial drivers</w:t>
      </w:r>
      <w:r>
        <w:rPr>
          <w:rFonts w:hint="default" w:ascii="Arial" w:hAnsi="Arial" w:cs="Arial"/>
          <w:sz w:val="22"/>
          <w:szCs w:val="22"/>
          <w:shd w:val="clear" w:color="auto" w:fill="auto"/>
        </w:rPr>
        <w:t xml:space="preserve"> such as sustainability efforts, innovation capacity, and human capital. This aligns well with Adidas’s branding as a purpose-driven company.</w:t>
      </w:r>
    </w:p>
    <w:p w14:paraId="4B638F15">
      <w:pPr>
        <w:pStyle w:val="9"/>
        <w:keepNext w:val="0"/>
        <w:keepLines w:val="0"/>
        <w:widowControl/>
        <w:suppressLineNumbers w:val="0"/>
        <w:spacing w:line="360" w:lineRule="auto"/>
        <w:ind w:left="720" w:right="720"/>
        <w:rPr>
          <w:rFonts w:hint="default" w:ascii="Arial" w:hAnsi="Arial" w:cs="Arial"/>
          <w:sz w:val="22"/>
          <w:szCs w:val="22"/>
          <w:shd w:val="clear" w:color="auto" w:fill="auto"/>
        </w:rPr>
      </w:pPr>
      <w:r>
        <w:rPr>
          <w:rStyle w:val="7"/>
          <w:rFonts w:hint="default" w:ascii="Arial" w:hAnsi="Arial" w:eastAsia="SimSun" w:cs="Arial"/>
          <w:sz w:val="22"/>
          <w:szCs w:val="22"/>
          <w:shd w:val="clear" w:color="auto" w:fill="auto"/>
        </w:rPr>
        <w:t>“Integrated reporting allows companies to explain how they use resources and relationships to create value”</w:t>
      </w:r>
      <w:r>
        <w:rPr>
          <w:rFonts w:hint="default" w:ascii="Arial" w:hAnsi="Arial" w:eastAsia="SimSun" w:cs="Arial"/>
          <w:sz w:val="22"/>
          <w:szCs w:val="22"/>
          <w:shd w:val="clear" w:color="auto" w:fill="auto"/>
        </w:rPr>
        <w:t xml:space="preserve"> (Dumay et al., 2016).</w:t>
      </w:r>
    </w:p>
    <w:p w14:paraId="6BA9125F">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By using IR, Adidas can enhance transparency and deepen stakeholder trust—especially among socially conscious investors and consumers.</w:t>
      </w:r>
    </w:p>
    <w:p w14:paraId="1F0B5053">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B. </w:t>
      </w:r>
      <w:r>
        <w:rPr>
          <w:rStyle w:val="10"/>
          <w:rFonts w:hint="default" w:ascii="Arial" w:hAnsi="Arial" w:cs="Arial"/>
          <w:b/>
          <w:bCs/>
          <w:sz w:val="22"/>
          <w:szCs w:val="22"/>
          <w:shd w:val="clear" w:color="auto" w:fill="auto"/>
        </w:rPr>
        <w:t>Improved Capital Allocation Decisions</w:t>
      </w:r>
    </w:p>
    <w:p w14:paraId="0CDCB2FF">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According to </w:t>
      </w:r>
      <w:r>
        <w:rPr>
          <w:rStyle w:val="10"/>
          <w:rFonts w:hint="default" w:ascii="Arial" w:hAnsi="Arial" w:cs="Arial"/>
          <w:sz w:val="22"/>
          <w:szCs w:val="22"/>
          <w:shd w:val="clear" w:color="auto" w:fill="auto"/>
        </w:rPr>
        <w:t>Barth et al. (2017)</w:t>
      </w:r>
      <w:r>
        <w:rPr>
          <w:rFonts w:hint="default" w:ascii="Arial" w:hAnsi="Arial" w:cs="Arial"/>
          <w:sz w:val="22"/>
          <w:szCs w:val="22"/>
          <w:shd w:val="clear" w:color="auto" w:fill="auto"/>
        </w:rPr>
        <w:t xml:space="preserve">, companies that produce high-quality integrated reports tend to experience </w:t>
      </w:r>
      <w:r>
        <w:rPr>
          <w:rStyle w:val="10"/>
          <w:rFonts w:hint="default" w:ascii="Arial" w:hAnsi="Arial" w:cs="Arial"/>
          <w:sz w:val="22"/>
          <w:szCs w:val="22"/>
          <w:shd w:val="clear" w:color="auto" w:fill="auto"/>
        </w:rPr>
        <w:t>lower capital costs</w:t>
      </w:r>
      <w:r>
        <w:rPr>
          <w:rFonts w:hint="default" w:ascii="Arial" w:hAnsi="Arial" w:cs="Arial"/>
          <w:sz w:val="22"/>
          <w:szCs w:val="22"/>
          <w:shd w:val="clear" w:color="auto" w:fill="auto"/>
        </w:rPr>
        <w:t xml:space="preserve"> due to better investor understanding and reduced uncertainty. For Adidas, which invests heavily in R&amp;D, digital infrastructure, and sustainability, IR can help justify long-term investments and attract ESG-aligned capital.</w:t>
      </w:r>
    </w:p>
    <w:p w14:paraId="55BDE44B">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C. </w:t>
      </w:r>
      <w:r>
        <w:rPr>
          <w:rStyle w:val="10"/>
          <w:rFonts w:hint="default" w:ascii="Arial" w:hAnsi="Arial" w:cs="Arial"/>
          <w:b/>
          <w:bCs/>
          <w:sz w:val="22"/>
          <w:szCs w:val="22"/>
          <w:shd w:val="clear" w:color="auto" w:fill="auto"/>
        </w:rPr>
        <w:t>Strategic Alignment and Internal Thinking</w:t>
      </w:r>
    </w:p>
    <w:p w14:paraId="74484F41">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IR promotes </w:t>
      </w:r>
      <w:r>
        <w:rPr>
          <w:rStyle w:val="10"/>
          <w:rFonts w:hint="default" w:ascii="Arial" w:hAnsi="Arial" w:cs="Arial"/>
          <w:sz w:val="22"/>
          <w:szCs w:val="22"/>
          <w:shd w:val="clear" w:color="auto" w:fill="auto"/>
        </w:rPr>
        <w:t>“integrated thinking”</w:t>
      </w:r>
      <w:r>
        <w:rPr>
          <w:rFonts w:hint="default" w:ascii="Arial" w:hAnsi="Arial" w:cs="Arial"/>
          <w:sz w:val="22"/>
          <w:szCs w:val="22"/>
          <w:shd w:val="clear" w:color="auto" w:fill="auto"/>
        </w:rPr>
        <w:t>—a management philosophy that encourages cross-functional collaboration and long-term planning (Busco et al., 2017). For Adidas, this can enhance coordination between finance, marketing, sustainability, and HR teams, improving internal decision-making and alignment with the company’s strategic vision.</w:t>
      </w:r>
    </w:p>
    <w:p w14:paraId="36FD458D">
      <w:pPr>
        <w:pStyle w:val="4"/>
        <w:keepNext w:val="0"/>
        <w:keepLines w:val="0"/>
        <w:widowControl/>
        <w:suppressLineNumbers w:val="0"/>
        <w:spacing w:line="360" w:lineRule="auto"/>
        <w:rPr>
          <w:rFonts w:hint="default" w:ascii="Arial" w:hAnsi="Arial" w:cs="Arial"/>
          <w:sz w:val="22"/>
          <w:szCs w:val="22"/>
          <w:shd w:val="clear" w:color="auto" w:fill="auto"/>
        </w:rPr>
      </w:pPr>
    </w:p>
    <w:p w14:paraId="007EFFF7">
      <w:pPr>
        <w:pStyle w:val="4"/>
        <w:keepNext w:val="0"/>
        <w:keepLines w:val="0"/>
        <w:widowControl/>
        <w:suppressLineNumbers w:val="0"/>
        <w:spacing w:line="360" w:lineRule="auto"/>
        <w:rPr>
          <w:rFonts w:hint="default" w:ascii="Arial" w:hAnsi="Arial" w:cs="Arial"/>
          <w:sz w:val="22"/>
          <w:szCs w:val="22"/>
          <w:shd w:val="clear" w:color="auto" w:fill="auto"/>
        </w:rPr>
      </w:pPr>
    </w:p>
    <w:p w14:paraId="5BB40674">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D. </w:t>
      </w:r>
      <w:r>
        <w:rPr>
          <w:rStyle w:val="10"/>
          <w:rFonts w:hint="default" w:ascii="Arial" w:hAnsi="Arial" w:cs="Arial"/>
          <w:b/>
          <w:bCs/>
          <w:sz w:val="22"/>
          <w:szCs w:val="22"/>
          <w:shd w:val="clear" w:color="auto" w:fill="auto"/>
        </w:rPr>
        <w:t>Sustainability and Brand Reputation</w:t>
      </w:r>
    </w:p>
    <w:p w14:paraId="277E9E87">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Adidas is known for sustainability initiatives like using ocean plastic in footwear and aiming for carbon neutrality. Integrated Reporting offers a structured platform to showcase these efforts under recognized capitals:</w:t>
      </w:r>
    </w:p>
    <w:p w14:paraId="6DDDADD2">
      <w:pPr>
        <w:pStyle w:val="9"/>
        <w:keepNext w:val="0"/>
        <w:keepLines w:val="0"/>
        <w:widowControl/>
        <w:numPr>
          <w:ilvl w:val="0"/>
          <w:numId w:val="4"/>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Natural Capital</w:t>
      </w:r>
      <w:r>
        <w:rPr>
          <w:rFonts w:hint="default" w:ascii="Arial" w:hAnsi="Arial" w:cs="Arial"/>
          <w:sz w:val="22"/>
          <w:szCs w:val="22"/>
          <w:shd w:val="clear" w:color="auto" w:fill="auto"/>
        </w:rPr>
        <w:t>: Energy usage, emissions, water conservation</w:t>
      </w:r>
    </w:p>
    <w:p w14:paraId="09B923E5">
      <w:pPr>
        <w:pStyle w:val="9"/>
        <w:keepNext w:val="0"/>
        <w:keepLines w:val="0"/>
        <w:widowControl/>
        <w:numPr>
          <w:ilvl w:val="0"/>
          <w:numId w:val="4"/>
        </w:numPr>
        <w:suppressLineNumbers w:val="0"/>
        <w:spacing w:line="360" w:lineRule="auto"/>
        <w:ind w:left="425" w:lef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Human and Social Capital</w:t>
      </w:r>
      <w:r>
        <w:rPr>
          <w:rFonts w:hint="default" w:ascii="Arial" w:hAnsi="Arial" w:cs="Arial"/>
          <w:sz w:val="22"/>
          <w:szCs w:val="22"/>
          <w:shd w:val="clear" w:color="auto" w:fill="auto"/>
        </w:rPr>
        <w:t>: Diversity, employee training, supply chain ethics</w:t>
      </w:r>
    </w:p>
    <w:p w14:paraId="45675589">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This builds brand equity and aligns Adidas with global standards such as the </w:t>
      </w:r>
      <w:r>
        <w:rPr>
          <w:rStyle w:val="10"/>
          <w:rFonts w:hint="default" w:ascii="Arial" w:hAnsi="Arial" w:cs="Arial"/>
          <w:sz w:val="22"/>
          <w:szCs w:val="22"/>
          <w:shd w:val="clear" w:color="auto" w:fill="auto"/>
        </w:rPr>
        <w:t>UN Sustainable Development Goals (SDGs)</w:t>
      </w:r>
      <w:r>
        <w:rPr>
          <w:rFonts w:hint="default" w:ascii="Arial" w:hAnsi="Arial" w:cs="Arial"/>
          <w:sz w:val="22"/>
          <w:szCs w:val="22"/>
          <w:shd w:val="clear" w:color="auto" w:fill="auto"/>
        </w:rPr>
        <w:t>.</w:t>
      </w:r>
    </w:p>
    <w:p w14:paraId="1224BA50">
      <w:pPr>
        <w:pStyle w:val="3"/>
        <w:keepNext w:val="0"/>
        <w:keepLines w:val="0"/>
        <w:widowControl/>
        <w:suppressLineNumbers w:val="0"/>
        <w:spacing w:line="360" w:lineRule="auto"/>
        <w:rPr>
          <w:rFonts w:hint="default" w:ascii="Arial" w:hAnsi="Arial" w:cs="Arial"/>
          <w:sz w:val="22"/>
          <w:szCs w:val="22"/>
          <w:shd w:val="clear" w:color="auto" w:fill="auto"/>
        </w:rPr>
      </w:pPr>
      <w:bookmarkStart w:id="18" w:name="_Toc7212"/>
      <w:r>
        <w:rPr>
          <w:rFonts w:hint="default" w:ascii="Arial" w:hAnsi="Arial" w:cs="Arial"/>
          <w:sz w:val="22"/>
          <w:szCs w:val="22"/>
          <w:shd w:val="clear" w:color="auto" w:fill="auto"/>
        </w:rPr>
        <w:t>4.3 Challenges of Implementing Integrated Reporting at Adidas</w:t>
      </w:r>
      <w:bookmarkEnd w:id="18"/>
    </w:p>
    <w:p w14:paraId="1106469B">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 </w:t>
      </w:r>
      <w:r>
        <w:rPr>
          <w:rStyle w:val="10"/>
          <w:rFonts w:hint="default" w:ascii="Arial" w:hAnsi="Arial" w:cs="Arial"/>
          <w:b/>
          <w:bCs/>
          <w:sz w:val="22"/>
          <w:szCs w:val="22"/>
          <w:shd w:val="clear" w:color="auto" w:fill="auto"/>
        </w:rPr>
        <w:t>Complexity and Resource Intensity</w:t>
      </w:r>
    </w:p>
    <w:p w14:paraId="42EF423D">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Developing an integrated report requires Adidas to capture and process a vast amount of both </w:t>
      </w:r>
      <w:r>
        <w:rPr>
          <w:rStyle w:val="10"/>
          <w:rFonts w:hint="default" w:ascii="Arial" w:hAnsi="Arial" w:cs="Arial"/>
          <w:sz w:val="22"/>
          <w:szCs w:val="22"/>
          <w:shd w:val="clear" w:color="auto" w:fill="auto"/>
        </w:rPr>
        <w:t>quantitative and qualitative data</w:t>
      </w:r>
      <w:r>
        <w:rPr>
          <w:rFonts w:hint="default" w:ascii="Arial" w:hAnsi="Arial" w:cs="Arial"/>
          <w:sz w:val="22"/>
          <w:szCs w:val="22"/>
          <w:shd w:val="clear" w:color="auto" w:fill="auto"/>
        </w:rPr>
        <w:t>. This includes inputs from various departments, creating a potential burden on time, systems, and internal capabilities.</w:t>
      </w:r>
    </w:p>
    <w:p w14:paraId="5DD0A2D5">
      <w:pPr>
        <w:pStyle w:val="9"/>
        <w:keepNext w:val="0"/>
        <w:keepLines w:val="0"/>
        <w:widowControl/>
        <w:suppressLineNumbers w:val="0"/>
        <w:spacing w:line="360" w:lineRule="auto"/>
        <w:ind w:left="720" w:right="720"/>
        <w:rPr>
          <w:rFonts w:hint="default" w:ascii="Arial" w:hAnsi="Arial" w:cs="Arial"/>
          <w:sz w:val="22"/>
          <w:szCs w:val="22"/>
          <w:shd w:val="clear" w:color="auto" w:fill="auto"/>
        </w:rPr>
      </w:pPr>
      <w:r>
        <w:rPr>
          <w:rStyle w:val="7"/>
          <w:rFonts w:hint="default" w:ascii="Arial" w:hAnsi="Arial" w:eastAsia="SimSun" w:cs="Arial"/>
          <w:sz w:val="22"/>
          <w:szCs w:val="22"/>
          <w:shd w:val="clear" w:color="auto" w:fill="auto"/>
        </w:rPr>
        <w:t>“For many companies, the shift to integrated reporting involves a steep learning curve and significant upfront investment”</w:t>
      </w:r>
      <w:r>
        <w:rPr>
          <w:rFonts w:hint="default" w:ascii="Arial" w:hAnsi="Arial" w:eastAsia="SimSun" w:cs="Arial"/>
          <w:sz w:val="22"/>
          <w:szCs w:val="22"/>
          <w:shd w:val="clear" w:color="auto" w:fill="auto"/>
        </w:rPr>
        <w:t xml:space="preserve"> (De Villiers et al., 2014).</w:t>
      </w:r>
    </w:p>
    <w:p w14:paraId="28DEEF6A">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Adidas may face challenges in aligning systems, selecting appropriate metrics, and ensuring consistency in narrative and data.</w:t>
      </w:r>
    </w:p>
    <w:p w14:paraId="1AA136CE">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B. </w:t>
      </w:r>
      <w:r>
        <w:rPr>
          <w:rStyle w:val="10"/>
          <w:rFonts w:hint="default" w:ascii="Arial" w:hAnsi="Arial" w:cs="Arial"/>
          <w:b/>
          <w:bCs/>
          <w:sz w:val="22"/>
          <w:szCs w:val="22"/>
          <w:shd w:val="clear" w:color="auto" w:fill="auto"/>
        </w:rPr>
        <w:t>Measurement and Assurance Issues</w:t>
      </w:r>
    </w:p>
    <w:p w14:paraId="07205BB7">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Non-financial information—such as corporate culture, intellectual property, and social impacts—is often </w:t>
      </w:r>
      <w:r>
        <w:rPr>
          <w:rStyle w:val="10"/>
          <w:rFonts w:hint="default" w:ascii="Arial" w:hAnsi="Arial" w:cs="Arial"/>
          <w:sz w:val="22"/>
          <w:szCs w:val="22"/>
          <w:shd w:val="clear" w:color="auto" w:fill="auto"/>
        </w:rPr>
        <w:t>difficult to measure or audit</w:t>
      </w:r>
      <w:r>
        <w:rPr>
          <w:rFonts w:hint="default" w:ascii="Arial" w:hAnsi="Arial" w:cs="Arial"/>
          <w:sz w:val="22"/>
          <w:szCs w:val="22"/>
          <w:shd w:val="clear" w:color="auto" w:fill="auto"/>
        </w:rPr>
        <w:t>. Adidas must ensure that metrics related to innovation, inclusivity, and sustainability are both meaningful and verifiable.</w:t>
      </w:r>
    </w:p>
    <w:p w14:paraId="35669E68">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Additionally, IR is </w:t>
      </w:r>
      <w:r>
        <w:rPr>
          <w:rStyle w:val="10"/>
          <w:rFonts w:hint="default" w:ascii="Arial" w:hAnsi="Arial" w:cs="Arial"/>
          <w:sz w:val="22"/>
          <w:szCs w:val="22"/>
          <w:shd w:val="clear" w:color="auto" w:fill="auto"/>
        </w:rPr>
        <w:t>voluntary</w:t>
      </w:r>
      <w:r>
        <w:rPr>
          <w:rFonts w:hint="default" w:ascii="Arial" w:hAnsi="Arial" w:cs="Arial"/>
          <w:sz w:val="22"/>
          <w:szCs w:val="22"/>
          <w:shd w:val="clear" w:color="auto" w:fill="auto"/>
        </w:rPr>
        <w:t xml:space="preserve"> in many jurisdictions, which can lead to inconsistencies in reporting quality and stakeholder expectations.</w:t>
      </w:r>
    </w:p>
    <w:p w14:paraId="11E274A2">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C. </w:t>
      </w:r>
      <w:r>
        <w:rPr>
          <w:rStyle w:val="10"/>
          <w:rFonts w:hint="default" w:ascii="Arial" w:hAnsi="Arial" w:cs="Arial"/>
          <w:b/>
          <w:bCs/>
          <w:sz w:val="22"/>
          <w:szCs w:val="22"/>
          <w:shd w:val="clear" w:color="auto" w:fill="auto"/>
        </w:rPr>
        <w:t>Balancing Stakeholder Interests</w:t>
      </w:r>
    </w:p>
    <w:p w14:paraId="5FEECF7B">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Adidas has a wide range of stakeholders: shareholders, customers, athletes, suppliers, NGOs, and regulators. Aligning the integrated report to meet the needs of </w:t>
      </w:r>
      <w:r>
        <w:rPr>
          <w:rStyle w:val="10"/>
          <w:rFonts w:hint="default" w:ascii="Arial" w:hAnsi="Arial" w:cs="Arial"/>
          <w:sz w:val="22"/>
          <w:szCs w:val="22"/>
          <w:shd w:val="clear" w:color="auto" w:fill="auto"/>
        </w:rPr>
        <w:t>all these groups simultaneously</w:t>
      </w:r>
      <w:r>
        <w:rPr>
          <w:rFonts w:hint="default" w:ascii="Arial" w:hAnsi="Arial" w:cs="Arial"/>
          <w:sz w:val="22"/>
          <w:szCs w:val="22"/>
          <w:shd w:val="clear" w:color="auto" w:fill="auto"/>
        </w:rPr>
        <w:t xml:space="preserve"> is a considerable challenge. The risk is producing a report that tries to satisfy everyone but lacks focus and clarity.</w:t>
      </w:r>
    </w:p>
    <w:p w14:paraId="7F4A72EA">
      <w:pPr>
        <w:pStyle w:val="3"/>
        <w:keepNext w:val="0"/>
        <w:keepLines w:val="0"/>
        <w:widowControl/>
        <w:suppressLineNumbers w:val="0"/>
        <w:spacing w:line="360" w:lineRule="auto"/>
        <w:rPr>
          <w:rFonts w:hint="default" w:ascii="Arial" w:hAnsi="Arial" w:cs="Arial"/>
          <w:sz w:val="22"/>
          <w:szCs w:val="22"/>
          <w:shd w:val="clear" w:color="auto" w:fill="auto"/>
        </w:rPr>
      </w:pPr>
      <w:bookmarkStart w:id="19" w:name="_Toc9431"/>
      <w:r>
        <w:rPr>
          <w:rFonts w:hint="default" w:ascii="Arial" w:hAnsi="Arial" w:cs="Arial"/>
          <w:sz w:val="22"/>
          <w:szCs w:val="22"/>
          <w:shd w:val="clear" w:color="auto" w:fill="auto"/>
        </w:rPr>
        <w:t>4.4 Application of the &lt;IR&gt; Framework at Adidas</w:t>
      </w:r>
      <w:bookmarkEnd w:id="19"/>
    </w:p>
    <w:p w14:paraId="3DDA5C94">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According to the IIRC (2013), Integrated Reporting focuses on </w:t>
      </w:r>
      <w:r>
        <w:rPr>
          <w:rStyle w:val="10"/>
          <w:rFonts w:hint="default" w:ascii="Arial" w:hAnsi="Arial" w:cs="Arial"/>
          <w:sz w:val="22"/>
          <w:szCs w:val="22"/>
          <w:shd w:val="clear" w:color="auto" w:fill="auto"/>
        </w:rPr>
        <w:t>six capitals</w:t>
      </w:r>
      <w:r>
        <w:rPr>
          <w:rFonts w:hint="default" w:ascii="Arial" w:hAnsi="Arial" w:cs="Arial"/>
          <w:sz w:val="22"/>
          <w:szCs w:val="22"/>
          <w:shd w:val="clear" w:color="auto" w:fill="auto"/>
        </w:rPr>
        <w:t xml:space="preserve"> and </w:t>
      </w:r>
      <w:r>
        <w:rPr>
          <w:rStyle w:val="10"/>
          <w:rFonts w:hint="default" w:ascii="Arial" w:hAnsi="Arial" w:cs="Arial"/>
          <w:sz w:val="22"/>
          <w:szCs w:val="22"/>
          <w:shd w:val="clear" w:color="auto" w:fill="auto"/>
        </w:rPr>
        <w:t>seven guiding principles</w:t>
      </w:r>
      <w:r>
        <w:rPr>
          <w:rFonts w:hint="default" w:ascii="Arial" w:hAnsi="Arial" w:cs="Arial"/>
          <w:sz w:val="22"/>
          <w:szCs w:val="22"/>
          <w:shd w:val="clear" w:color="auto" w:fill="auto"/>
        </w:rPr>
        <w:t>. Here’s how Adidas might apply the framework:</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38"/>
        <w:gridCol w:w="6084"/>
      </w:tblGrid>
      <w:tr w14:paraId="3454B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67AAA1F5">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&lt;IR&gt; Capital</w:t>
            </w:r>
          </w:p>
        </w:tc>
        <w:tc>
          <w:tcPr>
            <w:tcW w:w="6084" w:type="dxa"/>
            <w:shd w:val="clear" w:color="auto" w:fill="auto"/>
            <w:vAlign w:val="center"/>
          </w:tcPr>
          <w:p w14:paraId="1376D88E">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Example at Adidas</w:t>
            </w:r>
          </w:p>
        </w:tc>
      </w:tr>
      <w:tr w14:paraId="5D3C5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62E813E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Financial</w:t>
            </w:r>
          </w:p>
        </w:tc>
        <w:tc>
          <w:tcPr>
            <w:tcW w:w="6084" w:type="dxa"/>
            <w:shd w:val="clear" w:color="auto" w:fill="auto"/>
            <w:vAlign w:val="center"/>
          </w:tcPr>
          <w:p w14:paraId="6552C0C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 growth, capital allocation</w:t>
            </w:r>
          </w:p>
        </w:tc>
      </w:tr>
      <w:tr w14:paraId="7BD32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8" w:type="dxa"/>
            <w:shd w:val="clear" w:color="auto" w:fill="auto"/>
            <w:vAlign w:val="center"/>
          </w:tcPr>
          <w:p w14:paraId="6794B14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Manufactured</w:t>
            </w:r>
          </w:p>
        </w:tc>
        <w:tc>
          <w:tcPr>
            <w:tcW w:w="6084" w:type="dxa"/>
            <w:shd w:val="clear" w:color="auto" w:fill="auto"/>
            <w:vAlign w:val="center"/>
          </w:tcPr>
          <w:p w14:paraId="33DDAE9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Factory and logistics infrastructure</w:t>
            </w:r>
          </w:p>
        </w:tc>
      </w:tr>
      <w:tr w14:paraId="6EB1C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2C27B94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Intellectual</w:t>
            </w:r>
          </w:p>
        </w:tc>
        <w:tc>
          <w:tcPr>
            <w:tcW w:w="6084" w:type="dxa"/>
            <w:shd w:val="clear" w:color="auto" w:fill="auto"/>
            <w:vAlign w:val="center"/>
          </w:tcPr>
          <w:p w14:paraId="0ED5EE1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R&amp;D investment, patents, product innovation</w:t>
            </w:r>
          </w:p>
        </w:tc>
      </w:tr>
      <w:tr w14:paraId="36A14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4A7B768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Human</w:t>
            </w:r>
          </w:p>
        </w:tc>
        <w:tc>
          <w:tcPr>
            <w:tcW w:w="6084" w:type="dxa"/>
            <w:shd w:val="clear" w:color="auto" w:fill="auto"/>
            <w:vAlign w:val="center"/>
          </w:tcPr>
          <w:p w14:paraId="554D16D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Training programs, leadership diversity</w:t>
            </w:r>
          </w:p>
        </w:tc>
      </w:tr>
      <w:tr w14:paraId="20A98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10517DE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Social &amp; Relationship</w:t>
            </w:r>
          </w:p>
        </w:tc>
        <w:tc>
          <w:tcPr>
            <w:tcW w:w="6084" w:type="dxa"/>
            <w:shd w:val="clear" w:color="auto" w:fill="auto"/>
            <w:vAlign w:val="center"/>
          </w:tcPr>
          <w:p w14:paraId="3ACFBC4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Community initiatives, partnerships, sponsorships</w:t>
            </w:r>
          </w:p>
        </w:tc>
      </w:tr>
      <w:tr w14:paraId="4A190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8" w:type="dxa"/>
            <w:shd w:val="clear" w:color="auto" w:fill="auto"/>
            <w:vAlign w:val="center"/>
          </w:tcPr>
          <w:p w14:paraId="26535C7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Style w:val="10"/>
                <w:rFonts w:hint="default" w:ascii="Arial" w:hAnsi="Arial" w:eastAsia="SimSun" w:cs="Arial"/>
                <w:kern w:val="0"/>
                <w:sz w:val="22"/>
                <w:szCs w:val="22"/>
                <w:shd w:val="clear" w:color="auto" w:fill="auto"/>
                <w:lang w:val="en-US" w:eastAsia="zh-CN" w:bidi="ar"/>
              </w:rPr>
              <w:t>Natural</w:t>
            </w:r>
          </w:p>
        </w:tc>
        <w:tc>
          <w:tcPr>
            <w:tcW w:w="6084" w:type="dxa"/>
            <w:shd w:val="clear" w:color="auto" w:fill="auto"/>
            <w:vAlign w:val="center"/>
          </w:tcPr>
          <w:p w14:paraId="056FDFF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Emissions, renewable energy usage, sustainable materials</w:t>
            </w:r>
          </w:p>
        </w:tc>
      </w:tr>
    </w:tbl>
    <w:p w14:paraId="1DC1BD03">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Adidas already provides elements of this in its </w:t>
      </w:r>
      <w:r>
        <w:rPr>
          <w:rStyle w:val="10"/>
          <w:rFonts w:hint="default" w:ascii="Arial" w:hAnsi="Arial" w:cs="Arial"/>
          <w:sz w:val="22"/>
          <w:szCs w:val="22"/>
          <w:shd w:val="clear" w:color="auto" w:fill="auto"/>
        </w:rPr>
        <w:t>annual sustainability report</w:t>
      </w:r>
      <w:r>
        <w:rPr>
          <w:rFonts w:hint="default" w:ascii="Arial" w:hAnsi="Arial" w:cs="Arial"/>
          <w:sz w:val="22"/>
          <w:szCs w:val="22"/>
          <w:shd w:val="clear" w:color="auto" w:fill="auto"/>
        </w:rPr>
        <w:t>. Integrating these elements into one cohesive IR document would streamline communication and strengthen Adidas’s reputation as a sustainable innovator.</w:t>
      </w:r>
    </w:p>
    <w:p w14:paraId="4B387286">
      <w:pPr>
        <w:pStyle w:val="3"/>
        <w:keepNext w:val="0"/>
        <w:keepLines w:val="0"/>
        <w:widowControl/>
        <w:suppressLineNumbers w:val="0"/>
        <w:spacing w:line="360" w:lineRule="auto"/>
        <w:rPr>
          <w:rFonts w:hint="default" w:ascii="Arial" w:hAnsi="Arial" w:cs="Arial"/>
          <w:sz w:val="22"/>
          <w:szCs w:val="22"/>
          <w:shd w:val="clear" w:color="auto" w:fill="auto"/>
        </w:rPr>
      </w:pPr>
      <w:bookmarkStart w:id="20" w:name="_Toc22673"/>
      <w:r>
        <w:rPr>
          <w:rFonts w:hint="default" w:ascii="Arial" w:hAnsi="Arial" w:cs="Arial"/>
          <w:sz w:val="22"/>
          <w:szCs w:val="22"/>
          <w:shd w:val="clear" w:color="auto" w:fill="auto"/>
        </w:rPr>
        <w:t>4.5 Academic Support and Future Outlook</w:t>
      </w:r>
      <w:bookmarkEnd w:id="20"/>
    </w:p>
    <w:p w14:paraId="1A62E530">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Several studies support IR’s positive impact:</w:t>
      </w:r>
    </w:p>
    <w:p w14:paraId="4D17FAE3">
      <w:pPr>
        <w:pStyle w:val="9"/>
        <w:keepNext w:val="0"/>
        <w:keepLines w:val="0"/>
        <w:widowControl/>
        <w:numPr>
          <w:ilvl w:val="0"/>
          <w:numId w:val="5"/>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Busco et al. (2013)</w:t>
      </w:r>
      <w:r>
        <w:rPr>
          <w:rFonts w:hint="default" w:ascii="Arial" w:hAnsi="Arial" w:cs="Arial"/>
          <w:sz w:val="22"/>
          <w:szCs w:val="22"/>
          <w:shd w:val="clear" w:color="auto" w:fill="auto"/>
        </w:rPr>
        <w:t xml:space="preserve"> argue that IR redefines corporate accountability and transparency.</w:t>
      </w:r>
    </w:p>
    <w:p w14:paraId="6A451481">
      <w:pPr>
        <w:pStyle w:val="9"/>
        <w:keepNext w:val="0"/>
        <w:keepLines w:val="0"/>
        <w:widowControl/>
        <w:numPr>
          <w:ilvl w:val="0"/>
          <w:numId w:val="5"/>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Malafronte et al. (2020)</w:t>
      </w:r>
      <w:r>
        <w:rPr>
          <w:rFonts w:hint="default" w:ascii="Arial" w:hAnsi="Arial" w:cs="Arial"/>
          <w:sz w:val="22"/>
          <w:szCs w:val="22"/>
          <w:shd w:val="clear" w:color="auto" w:fill="auto"/>
        </w:rPr>
        <w:t xml:space="preserve"> emphasize that corporate culture plays a key role in successful IR adoption.</w:t>
      </w:r>
    </w:p>
    <w:p w14:paraId="2876BBD9">
      <w:pPr>
        <w:pStyle w:val="9"/>
        <w:keepNext w:val="0"/>
        <w:keepLines w:val="0"/>
        <w:widowControl/>
        <w:numPr>
          <w:ilvl w:val="0"/>
          <w:numId w:val="5"/>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Style w:val="10"/>
          <w:rFonts w:hint="default" w:ascii="Arial" w:hAnsi="Arial" w:cs="Arial"/>
          <w:sz w:val="22"/>
          <w:szCs w:val="22"/>
          <w:shd w:val="clear" w:color="auto" w:fill="auto"/>
        </w:rPr>
        <w:t>Garcia-Sanchez et al. (2020)</w:t>
      </w:r>
      <w:r>
        <w:rPr>
          <w:rFonts w:hint="default" w:ascii="Arial" w:hAnsi="Arial" w:cs="Arial"/>
          <w:sz w:val="22"/>
          <w:szCs w:val="22"/>
          <w:shd w:val="clear" w:color="auto" w:fill="auto"/>
        </w:rPr>
        <w:t xml:space="preserve"> link high-quality IR disclosures to greater CEO accountability and long-term planning.</w:t>
      </w:r>
    </w:p>
    <w:p w14:paraId="44B639CE">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Adidas, with its brand identity rooted in </w:t>
      </w:r>
      <w:r>
        <w:rPr>
          <w:rStyle w:val="10"/>
          <w:rFonts w:hint="default" w:ascii="Arial" w:hAnsi="Arial" w:cs="Arial"/>
          <w:sz w:val="22"/>
          <w:szCs w:val="22"/>
          <w:shd w:val="clear" w:color="auto" w:fill="auto"/>
        </w:rPr>
        <w:t>performance, purpose, and sustainability</w:t>
      </w:r>
      <w:r>
        <w:rPr>
          <w:rFonts w:hint="default" w:ascii="Arial" w:hAnsi="Arial" w:cs="Arial"/>
          <w:sz w:val="22"/>
          <w:szCs w:val="22"/>
          <w:shd w:val="clear" w:color="auto" w:fill="auto"/>
        </w:rPr>
        <w:t>, is in a strong position to lead the adoption of integrated thinking within the apparel industry.</w:t>
      </w:r>
    </w:p>
    <w:p w14:paraId="7F071E49">
      <w:pPr>
        <w:pStyle w:val="3"/>
        <w:keepNext w:val="0"/>
        <w:keepLines w:val="0"/>
        <w:widowControl/>
        <w:suppressLineNumbers w:val="0"/>
        <w:spacing w:line="360" w:lineRule="auto"/>
        <w:rPr>
          <w:rFonts w:hint="default" w:ascii="Arial" w:hAnsi="Arial" w:cs="Arial"/>
          <w:sz w:val="22"/>
          <w:szCs w:val="22"/>
          <w:shd w:val="clear" w:color="auto" w:fill="auto"/>
        </w:rPr>
      </w:pPr>
      <w:bookmarkStart w:id="21" w:name="_Toc28131"/>
      <w:r>
        <w:rPr>
          <w:rFonts w:hint="default" w:ascii="Arial" w:hAnsi="Arial" w:cs="Arial"/>
          <w:sz w:val="22"/>
          <w:szCs w:val="22"/>
          <w:shd w:val="clear" w:color="auto" w:fill="auto"/>
        </w:rPr>
        <w:t>4.6 Summary</w:t>
      </w:r>
      <w:bookmarkEnd w:id="21"/>
    </w:p>
    <w:p w14:paraId="0A612387">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While the transition to Integrated Reporting would pose operational and strategic challenges for Adidas, the </w:t>
      </w:r>
      <w:r>
        <w:rPr>
          <w:rStyle w:val="10"/>
          <w:rFonts w:hint="default" w:ascii="Arial" w:hAnsi="Arial" w:cs="Arial"/>
          <w:sz w:val="22"/>
          <w:szCs w:val="22"/>
          <w:shd w:val="clear" w:color="auto" w:fill="auto"/>
        </w:rPr>
        <w:t>potential benefits outweigh the difficulties</w:t>
      </w:r>
      <w:r>
        <w:rPr>
          <w:rFonts w:hint="default" w:ascii="Arial" w:hAnsi="Arial" w:cs="Arial"/>
          <w:sz w:val="22"/>
          <w:szCs w:val="22"/>
          <w:shd w:val="clear" w:color="auto" w:fill="auto"/>
        </w:rPr>
        <w:t>. IR can enable Adidas to:</w:t>
      </w:r>
    </w:p>
    <w:p w14:paraId="581FB91C">
      <w:pPr>
        <w:pStyle w:val="9"/>
        <w:keepNext w:val="0"/>
        <w:keepLines w:val="0"/>
        <w:widowControl/>
        <w:numPr>
          <w:ilvl w:val="0"/>
          <w:numId w:val="6"/>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Reinforce stakeholder trust</w:t>
      </w:r>
    </w:p>
    <w:p w14:paraId="68062702">
      <w:pPr>
        <w:pStyle w:val="9"/>
        <w:keepNext w:val="0"/>
        <w:keepLines w:val="0"/>
        <w:widowControl/>
        <w:numPr>
          <w:ilvl w:val="0"/>
          <w:numId w:val="6"/>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Align internal strategy with sustainability</w:t>
      </w:r>
    </w:p>
    <w:p w14:paraId="46346494">
      <w:pPr>
        <w:pStyle w:val="9"/>
        <w:keepNext w:val="0"/>
        <w:keepLines w:val="0"/>
        <w:widowControl/>
        <w:numPr>
          <w:ilvl w:val="0"/>
          <w:numId w:val="6"/>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Improve long-term capital access</w:t>
      </w:r>
    </w:p>
    <w:p w14:paraId="10C970CD">
      <w:pPr>
        <w:pStyle w:val="9"/>
        <w:keepNext w:val="0"/>
        <w:keepLines w:val="0"/>
        <w:widowControl/>
        <w:numPr>
          <w:ilvl w:val="0"/>
          <w:numId w:val="6"/>
        </w:numPr>
        <w:suppressLineNumbers w:val="0"/>
        <w:tabs>
          <w:tab w:val="clear" w:pos="425"/>
        </w:tabs>
        <w:spacing w:line="360" w:lineRule="auto"/>
        <w:ind w:left="425" w:leftChars="0" w:right="0" w:righ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Differentiate itself from competitors like Puma</w:t>
      </w:r>
    </w:p>
    <w:p w14:paraId="1ACDFC86">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 xml:space="preserve">To maximize impact, Adidas must invest in </w:t>
      </w:r>
      <w:r>
        <w:rPr>
          <w:rStyle w:val="10"/>
          <w:rFonts w:hint="default" w:ascii="Arial" w:hAnsi="Arial" w:cs="Arial"/>
          <w:sz w:val="22"/>
          <w:szCs w:val="22"/>
          <w:shd w:val="clear" w:color="auto" w:fill="auto"/>
        </w:rPr>
        <w:t>training, systems integration</w:t>
      </w:r>
      <w:r>
        <w:rPr>
          <w:rFonts w:hint="default" w:ascii="Arial" w:hAnsi="Arial" w:cs="Arial"/>
          <w:sz w:val="22"/>
          <w:szCs w:val="22"/>
          <w:shd w:val="clear" w:color="auto" w:fill="auto"/>
        </w:rPr>
        <w:t xml:space="preserve">, and develop a </w:t>
      </w:r>
      <w:r>
        <w:rPr>
          <w:rStyle w:val="10"/>
          <w:rFonts w:hint="default" w:ascii="Arial" w:hAnsi="Arial" w:cs="Arial"/>
          <w:sz w:val="22"/>
          <w:szCs w:val="22"/>
          <w:shd w:val="clear" w:color="auto" w:fill="auto"/>
        </w:rPr>
        <w:t>strong governance model</w:t>
      </w:r>
      <w:r>
        <w:rPr>
          <w:rFonts w:hint="default" w:ascii="Arial" w:hAnsi="Arial" w:cs="Arial"/>
          <w:sz w:val="22"/>
          <w:szCs w:val="22"/>
          <w:shd w:val="clear" w:color="auto" w:fill="auto"/>
        </w:rPr>
        <w:t xml:space="preserve"> for report preparation and review.</w:t>
      </w:r>
    </w:p>
    <w:p w14:paraId="26009B68">
      <w:pPr>
        <w:pStyle w:val="2"/>
        <w:keepNext w:val="0"/>
        <w:keepLines w:val="0"/>
        <w:widowControl/>
        <w:suppressLineNumbers w:val="0"/>
        <w:spacing w:line="360" w:lineRule="auto"/>
        <w:rPr>
          <w:rFonts w:hint="default" w:ascii="Arial" w:hAnsi="Arial" w:cs="Arial"/>
          <w:sz w:val="24"/>
          <w:szCs w:val="24"/>
          <w:shd w:val="clear" w:color="auto" w:fill="auto"/>
        </w:rPr>
      </w:pPr>
      <w:bookmarkStart w:id="22" w:name="_Toc3932"/>
      <w:r>
        <w:rPr>
          <w:rStyle w:val="10"/>
          <w:rFonts w:hint="default" w:ascii="Arial" w:hAnsi="Arial" w:cs="Arial"/>
          <w:b/>
          <w:bCs/>
          <w:sz w:val="24"/>
          <w:szCs w:val="24"/>
          <w:shd w:val="clear" w:color="auto" w:fill="auto"/>
        </w:rPr>
        <w:t>5. Conclusion</w:t>
      </w:r>
      <w:bookmarkEnd w:id="22"/>
    </w:p>
    <w:p w14:paraId="3DD200EF">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This report has evaluated the financial and non-financial performance of Adidas AG in comparison to its closest competitor, Puma SE. Using realistic dummy data, the financial ratio analysis demonstrated that Adidas outperformed Puma across most performance dimensions — including profitability, efficiency, and shareholder return. Although Adidas exhibited slightly higher leverage, this was effectively managed without compromising liquidity or solvency.</w:t>
      </w:r>
    </w:p>
    <w:p w14:paraId="4A341542">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The second part of the report critically examined the Balanced Scorecard framework and proposed a customized version for Adidas. By aligning the BSC with Adidas’s corporate strategy — focusing on innovation, digital transformation, and sustainability — the framework provides a holistic mechanism for evaluating strategic success. Critical success factors such as product innovation, operational agility, and customer-centricity were emphasized.</w:t>
      </w:r>
    </w:p>
    <w:p w14:paraId="4B8139AE">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Finally, the third section explored the benefits and challenges of adopting Integrated Reporting at Adidas. IR was shown to enhance transparency, strategic coherence, and stakeholder engagement. Although implementing IR can be complex, it aligns strongly with Adidas’s existing sustainability agenda and brand values. Applying the &lt;IR&gt; Framework would allow Adidas to communicate how it creates long-term value across multiple capitals — financial, natural, intellectual, and social.</w:t>
      </w:r>
    </w:p>
    <w:p w14:paraId="629A0E9E">
      <w:pPr>
        <w:pStyle w:val="9"/>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Altogether, this report underscores the importance of integrating financial performance management with strategic and sustainability-focused tools. Adidas’s ability to balance financial rigor with innovation and responsible business practices positions it for sustained success in an increasingly conscious and competitive marketplace.</w:t>
      </w:r>
    </w:p>
    <w:p w14:paraId="4FEC7098">
      <w:pPr>
        <w:pStyle w:val="2"/>
        <w:keepNext w:val="0"/>
        <w:keepLines w:val="0"/>
        <w:widowControl/>
        <w:suppressLineNumbers w:val="0"/>
        <w:spacing w:line="360" w:lineRule="auto"/>
        <w:rPr>
          <w:rFonts w:hint="default" w:ascii="Arial" w:hAnsi="Arial" w:cs="Arial"/>
          <w:sz w:val="22"/>
          <w:szCs w:val="22"/>
          <w:shd w:val="clear" w:color="auto" w:fill="auto"/>
        </w:rPr>
      </w:pPr>
      <w:bookmarkStart w:id="23" w:name="_Toc28115"/>
      <w:r>
        <w:rPr>
          <w:rStyle w:val="10"/>
          <w:rFonts w:hint="default" w:ascii="Arial" w:hAnsi="Arial" w:cs="Arial"/>
          <w:b/>
          <w:bCs/>
          <w:sz w:val="22"/>
          <w:szCs w:val="22"/>
          <w:shd w:val="clear" w:color="auto" w:fill="auto"/>
        </w:rPr>
        <w:t>References</w:t>
      </w:r>
      <w:bookmarkEnd w:id="23"/>
    </w:p>
    <w:p w14:paraId="29B49241">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Barth, M. E., Cahan, S. F., Chen, L., &amp; Venter, E. R. (2017). The economic consequences associated with integrated report quality. </w:t>
      </w:r>
      <w:r>
        <w:rPr>
          <w:rStyle w:val="7"/>
          <w:rFonts w:hint="default" w:ascii="Arial" w:hAnsi="Arial" w:cs="Arial"/>
          <w:sz w:val="22"/>
          <w:szCs w:val="22"/>
          <w:shd w:val="clear" w:color="auto" w:fill="auto"/>
        </w:rPr>
        <w:t>Accounting, Organizations and Society</w:t>
      </w:r>
      <w:r>
        <w:rPr>
          <w:rFonts w:hint="default" w:ascii="Arial" w:hAnsi="Arial" w:cs="Arial"/>
          <w:sz w:val="22"/>
          <w:szCs w:val="22"/>
          <w:shd w:val="clear" w:color="auto" w:fill="auto"/>
        </w:rPr>
        <w:t>, 62, 43–64.</w:t>
      </w:r>
    </w:p>
    <w:p w14:paraId="150C68EE">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Busco, C., Frigo, M. L., Quattrone, P., &amp; Riccaboni, A. (2013). </w:t>
      </w:r>
      <w:r>
        <w:rPr>
          <w:rStyle w:val="7"/>
          <w:rFonts w:hint="default" w:ascii="Arial" w:hAnsi="Arial" w:cs="Arial"/>
          <w:sz w:val="22"/>
          <w:szCs w:val="22"/>
          <w:shd w:val="clear" w:color="auto" w:fill="auto"/>
        </w:rPr>
        <w:t>Integrated Reporting: Concepts and Cases that Redefine Corporate Accountability</w:t>
      </w:r>
      <w:r>
        <w:rPr>
          <w:rFonts w:hint="default" w:ascii="Arial" w:hAnsi="Arial" w:cs="Arial"/>
          <w:sz w:val="22"/>
          <w:szCs w:val="22"/>
          <w:shd w:val="clear" w:color="auto" w:fill="auto"/>
        </w:rPr>
        <w:t>. Springer.</w:t>
      </w:r>
    </w:p>
    <w:p w14:paraId="456842B6">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Busco, C., Granà, F., &amp; Quattrone, P. (2017). Integrated thinking. </w:t>
      </w:r>
      <w:r>
        <w:rPr>
          <w:rStyle w:val="7"/>
          <w:rFonts w:hint="default" w:ascii="Arial" w:hAnsi="Arial" w:cs="Arial"/>
          <w:sz w:val="22"/>
          <w:szCs w:val="22"/>
          <w:shd w:val="clear" w:color="auto" w:fill="auto"/>
        </w:rPr>
        <w:t>CIMA Research Executive Summary</w:t>
      </w:r>
      <w:r>
        <w:rPr>
          <w:rFonts w:hint="default" w:ascii="Arial" w:hAnsi="Arial" w:cs="Arial"/>
          <w:sz w:val="22"/>
          <w:szCs w:val="22"/>
          <w:shd w:val="clear" w:color="auto" w:fill="auto"/>
        </w:rPr>
        <w:t>, 13(3), 1-26.</w:t>
      </w:r>
    </w:p>
    <w:p w14:paraId="699A33F0">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Cardinaels, E., &amp; van Veen-Dirks, P. (2010). Financial versus non-financial information in the balanced scorecard. </w:t>
      </w:r>
      <w:r>
        <w:rPr>
          <w:rStyle w:val="7"/>
          <w:rFonts w:hint="default" w:ascii="Arial" w:hAnsi="Arial" w:cs="Arial"/>
          <w:sz w:val="22"/>
          <w:szCs w:val="22"/>
          <w:shd w:val="clear" w:color="auto" w:fill="auto"/>
        </w:rPr>
        <w:t>Accounting, Organizations and Society</w:t>
      </w:r>
      <w:r>
        <w:rPr>
          <w:rFonts w:hint="default" w:ascii="Arial" w:hAnsi="Arial" w:cs="Arial"/>
          <w:sz w:val="22"/>
          <w:szCs w:val="22"/>
          <w:shd w:val="clear" w:color="auto" w:fill="auto"/>
        </w:rPr>
        <w:t>, 35(6), 568–578.</w:t>
      </w:r>
    </w:p>
    <w:p w14:paraId="1725BA74">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De Villiers, C., Rinaldi, L., &amp; Unerman, J. (2014). Integrated Reporting: Insights and research agenda. </w:t>
      </w:r>
      <w:r>
        <w:rPr>
          <w:rStyle w:val="7"/>
          <w:rFonts w:hint="default" w:ascii="Arial" w:hAnsi="Arial" w:cs="Arial"/>
          <w:sz w:val="22"/>
          <w:szCs w:val="22"/>
          <w:shd w:val="clear" w:color="auto" w:fill="auto"/>
        </w:rPr>
        <w:t>Accounting, Auditing &amp; Accountability Journal</w:t>
      </w:r>
      <w:r>
        <w:rPr>
          <w:rFonts w:hint="default" w:ascii="Arial" w:hAnsi="Arial" w:cs="Arial"/>
          <w:sz w:val="22"/>
          <w:szCs w:val="22"/>
          <w:shd w:val="clear" w:color="auto" w:fill="auto"/>
        </w:rPr>
        <w:t>, 27(7), 1042–1067.</w:t>
      </w:r>
    </w:p>
    <w:p w14:paraId="34040F73">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Dumay, J., Bernardi, C., Guthrie, J., &amp; Demartini, P. (2016). Integrated reporting: A structured literature review. </w:t>
      </w:r>
      <w:r>
        <w:rPr>
          <w:rStyle w:val="7"/>
          <w:rFonts w:hint="default" w:ascii="Arial" w:hAnsi="Arial" w:cs="Arial"/>
          <w:sz w:val="22"/>
          <w:szCs w:val="22"/>
          <w:shd w:val="clear" w:color="auto" w:fill="auto"/>
        </w:rPr>
        <w:t>Accounting Forum</w:t>
      </w:r>
      <w:r>
        <w:rPr>
          <w:rFonts w:hint="default" w:ascii="Arial" w:hAnsi="Arial" w:cs="Arial"/>
          <w:sz w:val="22"/>
          <w:szCs w:val="22"/>
          <w:shd w:val="clear" w:color="auto" w:fill="auto"/>
        </w:rPr>
        <w:t>, 40(3), 166–185.</w:t>
      </w:r>
    </w:p>
    <w:p w14:paraId="38EAD34A">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Garcia-Sanchez, I. M., Raimo, N., &amp; Vitolla, F. (2020). CEO power and integrated reporting. </w:t>
      </w:r>
      <w:r>
        <w:rPr>
          <w:rStyle w:val="7"/>
          <w:rFonts w:hint="default" w:ascii="Arial" w:hAnsi="Arial" w:cs="Arial"/>
          <w:sz w:val="22"/>
          <w:szCs w:val="22"/>
          <w:shd w:val="clear" w:color="auto" w:fill="auto"/>
        </w:rPr>
        <w:t>Meditari Accountancy Research</w:t>
      </w:r>
      <w:r>
        <w:rPr>
          <w:rFonts w:hint="default" w:ascii="Arial" w:hAnsi="Arial" w:cs="Arial"/>
          <w:sz w:val="22"/>
          <w:szCs w:val="22"/>
          <w:shd w:val="clear" w:color="auto" w:fill="auto"/>
        </w:rPr>
        <w:t>.</w:t>
      </w:r>
    </w:p>
    <w:p w14:paraId="05F3A7F9">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Hoque, Z. (2014). 20 years of studies on the Balanced Scorecard. </w:t>
      </w:r>
      <w:r>
        <w:rPr>
          <w:rStyle w:val="7"/>
          <w:rFonts w:hint="default" w:ascii="Arial" w:hAnsi="Arial" w:cs="Arial"/>
          <w:sz w:val="22"/>
          <w:szCs w:val="22"/>
          <w:shd w:val="clear" w:color="auto" w:fill="auto"/>
        </w:rPr>
        <w:t>British Accounting Review</w:t>
      </w:r>
      <w:r>
        <w:rPr>
          <w:rFonts w:hint="default" w:ascii="Arial" w:hAnsi="Arial" w:cs="Arial"/>
          <w:sz w:val="22"/>
          <w:szCs w:val="22"/>
          <w:shd w:val="clear" w:color="auto" w:fill="auto"/>
        </w:rPr>
        <w:t>, 46(1), 33–59.</w:t>
      </w:r>
    </w:p>
    <w:p w14:paraId="378AD17F">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IIRC. (2013). </w:t>
      </w:r>
      <w:r>
        <w:rPr>
          <w:rStyle w:val="7"/>
          <w:rFonts w:hint="default" w:ascii="Arial" w:hAnsi="Arial" w:cs="Arial"/>
          <w:sz w:val="22"/>
          <w:szCs w:val="22"/>
          <w:shd w:val="clear" w:color="auto" w:fill="auto"/>
        </w:rPr>
        <w:t>The International &lt;IR&gt; Framework</w:t>
      </w:r>
      <w:r>
        <w:rPr>
          <w:rFonts w:hint="default" w:ascii="Arial" w:hAnsi="Arial" w:cs="Arial"/>
          <w:sz w:val="22"/>
          <w:szCs w:val="22"/>
          <w:shd w:val="clear" w:color="auto" w:fill="auto"/>
        </w:rPr>
        <w:t xml:space="preserve">. International Integrated Reporting Council. Available at: </w:t>
      </w:r>
      <w:r>
        <w:rPr>
          <w:rFonts w:hint="default" w:ascii="Arial" w:hAnsi="Arial" w:cs="Arial"/>
          <w:sz w:val="22"/>
          <w:szCs w:val="22"/>
          <w:shd w:val="clear" w:color="auto" w:fill="auto"/>
        </w:rPr>
        <w:fldChar w:fldCharType="begin"/>
      </w:r>
      <w:r>
        <w:rPr>
          <w:rFonts w:hint="default" w:ascii="Arial" w:hAnsi="Arial" w:cs="Arial"/>
          <w:sz w:val="22"/>
          <w:szCs w:val="22"/>
          <w:shd w:val="clear" w:color="auto" w:fill="auto"/>
        </w:rPr>
        <w:instrText xml:space="preserve"> HYPERLINK "http://integratedreporting.org" \t "_new" </w:instrText>
      </w:r>
      <w:r>
        <w:rPr>
          <w:rFonts w:hint="default" w:ascii="Arial" w:hAnsi="Arial" w:cs="Arial"/>
          <w:sz w:val="22"/>
          <w:szCs w:val="22"/>
          <w:shd w:val="clear" w:color="auto" w:fill="auto"/>
        </w:rPr>
        <w:fldChar w:fldCharType="separate"/>
      </w:r>
      <w:r>
        <w:rPr>
          <w:rStyle w:val="8"/>
          <w:rFonts w:hint="default" w:ascii="Arial" w:hAnsi="Arial" w:cs="Arial"/>
          <w:sz w:val="22"/>
          <w:szCs w:val="22"/>
          <w:shd w:val="clear" w:color="auto" w:fill="auto"/>
        </w:rPr>
        <w:t>http://integratedreporting.org</w:t>
      </w:r>
      <w:r>
        <w:rPr>
          <w:rFonts w:hint="default" w:ascii="Arial" w:hAnsi="Arial" w:cs="Arial"/>
          <w:sz w:val="22"/>
          <w:szCs w:val="22"/>
          <w:shd w:val="clear" w:color="auto" w:fill="auto"/>
        </w:rPr>
        <w:fldChar w:fldCharType="end"/>
      </w:r>
    </w:p>
    <w:p w14:paraId="5D13B4C6">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Kaplan, R. S., &amp; Norton, D. P. (1992). The Balanced Scorecard: Measures that drive performance. </w:t>
      </w:r>
      <w:r>
        <w:rPr>
          <w:rStyle w:val="7"/>
          <w:rFonts w:hint="default" w:ascii="Arial" w:hAnsi="Arial" w:cs="Arial"/>
          <w:sz w:val="22"/>
          <w:szCs w:val="22"/>
          <w:shd w:val="clear" w:color="auto" w:fill="auto"/>
        </w:rPr>
        <w:t>Harvard Business Review</w:t>
      </w:r>
      <w:r>
        <w:rPr>
          <w:rFonts w:hint="default" w:ascii="Arial" w:hAnsi="Arial" w:cs="Arial"/>
          <w:sz w:val="22"/>
          <w:szCs w:val="22"/>
          <w:shd w:val="clear" w:color="auto" w:fill="auto"/>
        </w:rPr>
        <w:t>.</w:t>
      </w:r>
    </w:p>
    <w:p w14:paraId="42812736">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Malafronte, I., &amp; Pereira, J. (2020). Integrated thinking: Measuring the unobservable. </w:t>
      </w:r>
      <w:r>
        <w:rPr>
          <w:rStyle w:val="7"/>
          <w:rFonts w:hint="default" w:ascii="Arial" w:hAnsi="Arial" w:cs="Arial"/>
          <w:sz w:val="22"/>
          <w:szCs w:val="22"/>
          <w:shd w:val="clear" w:color="auto" w:fill="auto"/>
        </w:rPr>
        <w:t>Meditari Accountancy Research</w:t>
      </w:r>
      <w:r>
        <w:rPr>
          <w:rFonts w:hint="default" w:ascii="Arial" w:hAnsi="Arial" w:cs="Arial"/>
          <w:sz w:val="22"/>
          <w:szCs w:val="22"/>
          <w:shd w:val="clear" w:color="auto" w:fill="auto"/>
        </w:rPr>
        <w:t>.</w:t>
      </w:r>
    </w:p>
    <w:p w14:paraId="3203FAB4">
      <w:pPr>
        <w:pStyle w:val="9"/>
        <w:keepNext w:val="0"/>
        <w:keepLines w:val="0"/>
        <w:widowControl/>
        <w:numPr>
          <w:ilvl w:val="0"/>
          <w:numId w:val="7"/>
        </w:numPr>
        <w:suppressLineNumbers w:val="0"/>
        <w:spacing w:line="360" w:lineRule="auto"/>
        <w:ind w:left="425" w:leftChars="0" w:hanging="425" w:firstLineChars="0"/>
        <w:rPr>
          <w:rFonts w:hint="default" w:ascii="Arial" w:hAnsi="Arial" w:cs="Arial"/>
          <w:sz w:val="22"/>
          <w:szCs w:val="22"/>
          <w:shd w:val="clear" w:color="auto" w:fill="auto"/>
        </w:rPr>
      </w:pPr>
      <w:r>
        <w:rPr>
          <w:rFonts w:hint="default" w:ascii="Arial" w:hAnsi="Arial" w:cs="Arial"/>
          <w:sz w:val="22"/>
          <w:szCs w:val="22"/>
          <w:shd w:val="clear" w:color="auto" w:fill="auto"/>
        </w:rPr>
        <w:t xml:space="preserve">Nørreklit, H. (2014). The balanced scorecard: What is the score? </w:t>
      </w:r>
      <w:r>
        <w:rPr>
          <w:rStyle w:val="7"/>
          <w:rFonts w:hint="default" w:ascii="Arial" w:hAnsi="Arial" w:cs="Arial"/>
          <w:sz w:val="22"/>
          <w:szCs w:val="22"/>
          <w:shd w:val="clear" w:color="auto" w:fill="auto"/>
        </w:rPr>
        <w:t>Journal of Accounting &amp; Organizational Change</w:t>
      </w:r>
      <w:r>
        <w:rPr>
          <w:rFonts w:hint="default" w:ascii="Arial" w:hAnsi="Arial" w:cs="Arial"/>
          <w:sz w:val="22"/>
          <w:szCs w:val="22"/>
          <w:shd w:val="clear" w:color="auto" w:fill="auto"/>
        </w:rPr>
        <w:t>, 10(4), 490–510.</w:t>
      </w:r>
    </w:p>
    <w:p w14:paraId="5C6A4D8C">
      <w:pPr>
        <w:pStyle w:val="2"/>
        <w:keepNext w:val="0"/>
        <w:keepLines w:val="0"/>
        <w:widowControl/>
        <w:suppressLineNumbers w:val="0"/>
        <w:spacing w:line="360" w:lineRule="auto"/>
        <w:rPr>
          <w:rStyle w:val="10"/>
          <w:rFonts w:hint="default" w:ascii="Arial" w:hAnsi="Arial" w:cs="Arial"/>
          <w:b/>
          <w:bCs/>
          <w:sz w:val="22"/>
          <w:szCs w:val="22"/>
          <w:shd w:val="clear" w:color="auto" w:fill="auto"/>
        </w:rPr>
      </w:pPr>
    </w:p>
    <w:p w14:paraId="72B7940F">
      <w:pPr>
        <w:pStyle w:val="2"/>
        <w:keepNext w:val="0"/>
        <w:keepLines w:val="0"/>
        <w:widowControl/>
        <w:suppressLineNumbers w:val="0"/>
        <w:spacing w:line="360" w:lineRule="auto"/>
        <w:rPr>
          <w:rStyle w:val="10"/>
          <w:rFonts w:hint="default" w:ascii="Arial" w:hAnsi="Arial" w:cs="Arial"/>
          <w:b/>
          <w:bCs/>
          <w:sz w:val="22"/>
          <w:szCs w:val="22"/>
          <w:shd w:val="clear" w:color="auto" w:fill="auto"/>
        </w:rPr>
      </w:pPr>
    </w:p>
    <w:p w14:paraId="2AD50F92">
      <w:pPr>
        <w:pStyle w:val="2"/>
        <w:keepNext w:val="0"/>
        <w:keepLines w:val="0"/>
        <w:widowControl/>
        <w:suppressLineNumbers w:val="0"/>
        <w:spacing w:line="360" w:lineRule="auto"/>
        <w:rPr>
          <w:rFonts w:hint="default" w:ascii="Arial" w:hAnsi="Arial" w:cs="Arial"/>
          <w:sz w:val="22"/>
          <w:szCs w:val="22"/>
          <w:shd w:val="clear" w:color="auto" w:fill="auto"/>
        </w:rPr>
      </w:pPr>
      <w:bookmarkStart w:id="24" w:name="_Toc5181"/>
      <w:r>
        <w:rPr>
          <w:rStyle w:val="10"/>
          <w:rFonts w:hint="default" w:ascii="Arial" w:hAnsi="Arial" w:cs="Arial"/>
          <w:b/>
          <w:bCs/>
          <w:sz w:val="24"/>
          <w:szCs w:val="24"/>
          <w:shd w:val="clear" w:color="auto" w:fill="auto"/>
        </w:rPr>
        <w:t>Appendix</w:t>
      </w:r>
      <w:bookmarkEnd w:id="24"/>
    </w:p>
    <w:p w14:paraId="44586BB3">
      <w:pPr>
        <w:pStyle w:val="3"/>
        <w:keepNext w:val="0"/>
        <w:keepLines w:val="0"/>
        <w:widowControl/>
        <w:suppressLineNumbers w:val="0"/>
        <w:spacing w:line="360" w:lineRule="auto"/>
        <w:rPr>
          <w:rFonts w:hint="default" w:ascii="Arial" w:hAnsi="Arial" w:cs="Arial"/>
          <w:sz w:val="22"/>
          <w:szCs w:val="22"/>
          <w:shd w:val="clear" w:color="auto" w:fill="auto"/>
        </w:rPr>
      </w:pPr>
      <w:bookmarkStart w:id="25" w:name="_Toc31806"/>
      <w:r>
        <w:rPr>
          <w:rFonts w:hint="default" w:ascii="Arial" w:hAnsi="Arial" w:cs="Arial"/>
          <w:sz w:val="22"/>
          <w:szCs w:val="22"/>
          <w:shd w:val="clear" w:color="auto" w:fill="auto"/>
        </w:rPr>
        <w:t>A. Dummy Financial Statements (Condensed)</w:t>
      </w:r>
      <w:bookmarkEnd w:id="25"/>
    </w:p>
    <w:p w14:paraId="0515004C">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Adidas AG – Selected Financial Data</w:t>
      </w:r>
    </w:p>
    <w:tbl>
      <w:tblPr>
        <w:tblStyle w:val="11"/>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98"/>
        <w:gridCol w:w="1733"/>
        <w:gridCol w:w="1748"/>
      </w:tblGrid>
      <w:tr w14:paraId="576CB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057B7DB2">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Item</w:t>
            </w:r>
          </w:p>
        </w:tc>
        <w:tc>
          <w:tcPr>
            <w:tcW w:w="1733" w:type="dxa"/>
            <w:shd w:val="clear" w:color="auto" w:fill="auto"/>
            <w:vAlign w:val="center"/>
          </w:tcPr>
          <w:p w14:paraId="4B68D75E">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2023</w:t>
            </w:r>
          </w:p>
        </w:tc>
        <w:tc>
          <w:tcPr>
            <w:tcW w:w="1748" w:type="dxa"/>
            <w:shd w:val="clear" w:color="auto" w:fill="auto"/>
            <w:vAlign w:val="center"/>
          </w:tcPr>
          <w:p w14:paraId="2A770E35">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2024</w:t>
            </w:r>
          </w:p>
        </w:tc>
      </w:tr>
      <w:tr w14:paraId="18D1E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595181E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w:t>
            </w:r>
          </w:p>
        </w:tc>
        <w:tc>
          <w:tcPr>
            <w:tcW w:w="1733" w:type="dxa"/>
            <w:shd w:val="clear" w:color="auto" w:fill="auto"/>
            <w:vAlign w:val="center"/>
          </w:tcPr>
          <w:p w14:paraId="6B4057A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22,000</w:t>
            </w:r>
          </w:p>
        </w:tc>
        <w:tc>
          <w:tcPr>
            <w:tcW w:w="1748" w:type="dxa"/>
            <w:shd w:val="clear" w:color="auto" w:fill="auto"/>
            <w:vAlign w:val="center"/>
          </w:tcPr>
          <w:p w14:paraId="4F0FD33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24,000</w:t>
            </w:r>
          </w:p>
        </w:tc>
      </w:tr>
      <w:tr w14:paraId="3E7F5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0E9A696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w:t>
            </w:r>
          </w:p>
        </w:tc>
        <w:tc>
          <w:tcPr>
            <w:tcW w:w="1733" w:type="dxa"/>
            <w:shd w:val="clear" w:color="auto" w:fill="auto"/>
            <w:vAlign w:val="center"/>
          </w:tcPr>
          <w:p w14:paraId="45145A4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w:t>
            </w:r>
          </w:p>
        </w:tc>
        <w:tc>
          <w:tcPr>
            <w:tcW w:w="1748" w:type="dxa"/>
            <w:shd w:val="clear" w:color="auto" w:fill="auto"/>
            <w:vAlign w:val="center"/>
          </w:tcPr>
          <w:p w14:paraId="120ABE9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2,400</w:t>
            </w:r>
          </w:p>
        </w:tc>
      </w:tr>
      <w:tr w14:paraId="58E3B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4D086E8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Assets</w:t>
            </w:r>
          </w:p>
        </w:tc>
        <w:tc>
          <w:tcPr>
            <w:tcW w:w="1733" w:type="dxa"/>
            <w:shd w:val="clear" w:color="auto" w:fill="auto"/>
            <w:vAlign w:val="center"/>
          </w:tcPr>
          <w:p w14:paraId="721317B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7,000</w:t>
            </w:r>
          </w:p>
        </w:tc>
        <w:tc>
          <w:tcPr>
            <w:tcW w:w="1748" w:type="dxa"/>
            <w:shd w:val="clear" w:color="auto" w:fill="auto"/>
            <w:vAlign w:val="center"/>
          </w:tcPr>
          <w:p w14:paraId="12A885E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7,500</w:t>
            </w:r>
          </w:p>
        </w:tc>
      </w:tr>
      <w:tr w14:paraId="3F18E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113FC89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Inventory</w:t>
            </w:r>
          </w:p>
        </w:tc>
        <w:tc>
          <w:tcPr>
            <w:tcW w:w="1733" w:type="dxa"/>
            <w:shd w:val="clear" w:color="auto" w:fill="auto"/>
            <w:vAlign w:val="center"/>
          </w:tcPr>
          <w:p w14:paraId="5773AC6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2,000</w:t>
            </w:r>
          </w:p>
        </w:tc>
        <w:tc>
          <w:tcPr>
            <w:tcW w:w="1748" w:type="dxa"/>
            <w:shd w:val="clear" w:color="auto" w:fill="auto"/>
            <w:vAlign w:val="center"/>
          </w:tcPr>
          <w:p w14:paraId="5DD342A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2,200</w:t>
            </w:r>
          </w:p>
        </w:tc>
      </w:tr>
      <w:tr w14:paraId="73A1B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663ED15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Liabilities</w:t>
            </w:r>
          </w:p>
        </w:tc>
        <w:tc>
          <w:tcPr>
            <w:tcW w:w="1733" w:type="dxa"/>
            <w:shd w:val="clear" w:color="auto" w:fill="auto"/>
            <w:vAlign w:val="center"/>
          </w:tcPr>
          <w:p w14:paraId="39D4A10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4,000</w:t>
            </w:r>
          </w:p>
        </w:tc>
        <w:tc>
          <w:tcPr>
            <w:tcW w:w="1748" w:type="dxa"/>
            <w:shd w:val="clear" w:color="auto" w:fill="auto"/>
            <w:vAlign w:val="center"/>
          </w:tcPr>
          <w:p w14:paraId="1DCFB56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4,300</w:t>
            </w:r>
          </w:p>
        </w:tc>
      </w:tr>
      <w:tr w14:paraId="52812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243BEB6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Assets</w:t>
            </w:r>
          </w:p>
        </w:tc>
        <w:tc>
          <w:tcPr>
            <w:tcW w:w="1733" w:type="dxa"/>
            <w:shd w:val="clear" w:color="auto" w:fill="auto"/>
            <w:vAlign w:val="center"/>
          </w:tcPr>
          <w:p w14:paraId="38C6BED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18,000</w:t>
            </w:r>
          </w:p>
        </w:tc>
        <w:tc>
          <w:tcPr>
            <w:tcW w:w="1748" w:type="dxa"/>
            <w:shd w:val="clear" w:color="auto" w:fill="auto"/>
            <w:vAlign w:val="center"/>
          </w:tcPr>
          <w:p w14:paraId="1B563A0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19,000</w:t>
            </w:r>
          </w:p>
        </w:tc>
      </w:tr>
      <w:tr w14:paraId="0349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0CA1FD5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Liabilities</w:t>
            </w:r>
          </w:p>
        </w:tc>
        <w:tc>
          <w:tcPr>
            <w:tcW w:w="1733" w:type="dxa"/>
            <w:shd w:val="clear" w:color="auto" w:fill="auto"/>
            <w:vAlign w:val="center"/>
          </w:tcPr>
          <w:p w14:paraId="3DD74E5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10,000</w:t>
            </w:r>
          </w:p>
        </w:tc>
        <w:tc>
          <w:tcPr>
            <w:tcW w:w="1748" w:type="dxa"/>
            <w:shd w:val="clear" w:color="auto" w:fill="auto"/>
            <w:vAlign w:val="center"/>
          </w:tcPr>
          <w:p w14:paraId="6119D68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10,500</w:t>
            </w:r>
          </w:p>
        </w:tc>
      </w:tr>
      <w:tr w14:paraId="37A0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5098" w:type="dxa"/>
            <w:shd w:val="clear" w:color="auto" w:fill="auto"/>
            <w:vAlign w:val="center"/>
          </w:tcPr>
          <w:p w14:paraId="4D26999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w:t>
            </w:r>
          </w:p>
        </w:tc>
        <w:tc>
          <w:tcPr>
            <w:tcW w:w="1733" w:type="dxa"/>
            <w:shd w:val="clear" w:color="auto" w:fill="auto"/>
            <w:vAlign w:val="center"/>
          </w:tcPr>
          <w:p w14:paraId="3B6C7AE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8,000</w:t>
            </w:r>
          </w:p>
        </w:tc>
        <w:tc>
          <w:tcPr>
            <w:tcW w:w="1748" w:type="dxa"/>
            <w:shd w:val="clear" w:color="auto" w:fill="auto"/>
            <w:vAlign w:val="center"/>
          </w:tcPr>
          <w:p w14:paraId="011EF74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8,500</w:t>
            </w:r>
          </w:p>
        </w:tc>
      </w:tr>
      <w:tr w14:paraId="60F8F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6" w:hRule="atLeast"/>
        </w:trPr>
        <w:tc>
          <w:tcPr>
            <w:tcW w:w="5098" w:type="dxa"/>
            <w:shd w:val="clear" w:color="auto" w:fill="auto"/>
            <w:vAlign w:val="center"/>
          </w:tcPr>
          <w:p w14:paraId="1065F39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Shares Outstanding</w:t>
            </w:r>
          </w:p>
        </w:tc>
        <w:tc>
          <w:tcPr>
            <w:tcW w:w="1733" w:type="dxa"/>
            <w:shd w:val="clear" w:color="auto" w:fill="auto"/>
            <w:vAlign w:val="center"/>
          </w:tcPr>
          <w:p w14:paraId="052B9A1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500</w:t>
            </w:r>
          </w:p>
        </w:tc>
        <w:tc>
          <w:tcPr>
            <w:tcW w:w="1748" w:type="dxa"/>
            <w:shd w:val="clear" w:color="auto" w:fill="auto"/>
            <w:vAlign w:val="center"/>
          </w:tcPr>
          <w:p w14:paraId="757A4A6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500</w:t>
            </w:r>
          </w:p>
        </w:tc>
      </w:tr>
      <w:tr w14:paraId="1C36C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4" w:hRule="atLeast"/>
        </w:trPr>
        <w:tc>
          <w:tcPr>
            <w:tcW w:w="5098" w:type="dxa"/>
            <w:shd w:val="clear" w:color="auto" w:fill="auto"/>
            <w:vAlign w:val="center"/>
          </w:tcPr>
          <w:p w14:paraId="6264E43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Market Capitalization</w:t>
            </w:r>
          </w:p>
        </w:tc>
        <w:tc>
          <w:tcPr>
            <w:tcW w:w="1733" w:type="dxa"/>
            <w:shd w:val="clear" w:color="auto" w:fill="auto"/>
            <w:vAlign w:val="center"/>
          </w:tcPr>
          <w:p w14:paraId="2599326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60,000</w:t>
            </w:r>
          </w:p>
        </w:tc>
        <w:tc>
          <w:tcPr>
            <w:tcW w:w="1748" w:type="dxa"/>
            <w:shd w:val="clear" w:color="auto" w:fill="auto"/>
            <w:vAlign w:val="center"/>
          </w:tcPr>
          <w:p w14:paraId="6F05D0E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66,000</w:t>
            </w:r>
          </w:p>
        </w:tc>
      </w:tr>
    </w:tbl>
    <w:p w14:paraId="45B8CA3B">
      <w:pPr>
        <w:pStyle w:val="4"/>
        <w:keepNext w:val="0"/>
        <w:keepLines w:val="0"/>
        <w:widowControl/>
        <w:suppressLineNumbers w:val="0"/>
        <w:spacing w:line="360" w:lineRule="auto"/>
        <w:rPr>
          <w:rFonts w:hint="default" w:ascii="Arial" w:hAnsi="Arial" w:cs="Arial"/>
          <w:sz w:val="22"/>
          <w:szCs w:val="22"/>
          <w:shd w:val="clear" w:color="auto" w:fill="auto"/>
        </w:rPr>
      </w:pPr>
      <w:r>
        <w:rPr>
          <w:rFonts w:hint="default" w:ascii="Arial" w:hAnsi="Arial" w:cs="Arial"/>
          <w:sz w:val="22"/>
          <w:szCs w:val="22"/>
          <w:shd w:val="clear" w:color="auto" w:fill="auto"/>
        </w:rPr>
        <w:t>Puma SE – Selected Financial Data</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63"/>
        <w:gridCol w:w="1722"/>
        <w:gridCol w:w="1737"/>
      </w:tblGrid>
      <w:tr w14:paraId="29CFB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690DC1F7">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Item</w:t>
            </w:r>
          </w:p>
        </w:tc>
        <w:tc>
          <w:tcPr>
            <w:tcW w:w="1722" w:type="dxa"/>
            <w:shd w:val="clear" w:color="auto" w:fill="auto"/>
            <w:vAlign w:val="center"/>
          </w:tcPr>
          <w:p w14:paraId="307447C4">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2023</w:t>
            </w:r>
          </w:p>
        </w:tc>
        <w:tc>
          <w:tcPr>
            <w:tcW w:w="1737" w:type="dxa"/>
            <w:shd w:val="clear" w:color="auto" w:fill="auto"/>
            <w:vAlign w:val="center"/>
          </w:tcPr>
          <w:p w14:paraId="5E2A8A5D">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2024</w:t>
            </w:r>
          </w:p>
        </w:tc>
      </w:tr>
      <w:tr w14:paraId="3BBCD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5E34A09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Revenue</w:t>
            </w:r>
          </w:p>
        </w:tc>
        <w:tc>
          <w:tcPr>
            <w:tcW w:w="1722" w:type="dxa"/>
            <w:shd w:val="clear" w:color="auto" w:fill="auto"/>
            <w:vAlign w:val="center"/>
          </w:tcPr>
          <w:p w14:paraId="236111C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9,000</w:t>
            </w:r>
          </w:p>
        </w:tc>
        <w:tc>
          <w:tcPr>
            <w:tcW w:w="1737" w:type="dxa"/>
            <w:shd w:val="clear" w:color="auto" w:fill="auto"/>
            <w:vAlign w:val="center"/>
          </w:tcPr>
          <w:p w14:paraId="0150B64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9,800</w:t>
            </w:r>
          </w:p>
        </w:tc>
      </w:tr>
      <w:tr w14:paraId="3B459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67EB2A1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Income</w:t>
            </w:r>
          </w:p>
        </w:tc>
        <w:tc>
          <w:tcPr>
            <w:tcW w:w="1722" w:type="dxa"/>
            <w:shd w:val="clear" w:color="auto" w:fill="auto"/>
            <w:vAlign w:val="center"/>
          </w:tcPr>
          <w:p w14:paraId="674AE0A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700</w:t>
            </w:r>
          </w:p>
        </w:tc>
        <w:tc>
          <w:tcPr>
            <w:tcW w:w="1737" w:type="dxa"/>
            <w:shd w:val="clear" w:color="auto" w:fill="auto"/>
            <w:vAlign w:val="center"/>
          </w:tcPr>
          <w:p w14:paraId="7922518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750</w:t>
            </w:r>
          </w:p>
        </w:tc>
      </w:tr>
      <w:tr w14:paraId="23731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63" w:type="dxa"/>
            <w:shd w:val="clear" w:color="auto" w:fill="auto"/>
            <w:vAlign w:val="center"/>
          </w:tcPr>
          <w:p w14:paraId="247C60F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Assets</w:t>
            </w:r>
          </w:p>
        </w:tc>
        <w:tc>
          <w:tcPr>
            <w:tcW w:w="1722" w:type="dxa"/>
            <w:shd w:val="clear" w:color="auto" w:fill="auto"/>
            <w:vAlign w:val="center"/>
          </w:tcPr>
          <w:p w14:paraId="1B3E590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2,800</w:t>
            </w:r>
          </w:p>
        </w:tc>
        <w:tc>
          <w:tcPr>
            <w:tcW w:w="1737" w:type="dxa"/>
            <w:shd w:val="clear" w:color="auto" w:fill="auto"/>
            <w:vAlign w:val="center"/>
          </w:tcPr>
          <w:p w14:paraId="6EC681C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3,100</w:t>
            </w:r>
          </w:p>
        </w:tc>
      </w:tr>
      <w:tr w14:paraId="08B45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03512523">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Inventory</w:t>
            </w:r>
          </w:p>
        </w:tc>
        <w:tc>
          <w:tcPr>
            <w:tcW w:w="1722" w:type="dxa"/>
            <w:shd w:val="clear" w:color="auto" w:fill="auto"/>
            <w:vAlign w:val="center"/>
          </w:tcPr>
          <w:p w14:paraId="6E6AF9A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900</w:t>
            </w:r>
          </w:p>
        </w:tc>
        <w:tc>
          <w:tcPr>
            <w:tcW w:w="1737" w:type="dxa"/>
            <w:shd w:val="clear" w:color="auto" w:fill="auto"/>
            <w:vAlign w:val="center"/>
          </w:tcPr>
          <w:p w14:paraId="3C669AB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950</w:t>
            </w:r>
          </w:p>
        </w:tc>
      </w:tr>
      <w:tr w14:paraId="4D3DE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074BB0B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Liabilities</w:t>
            </w:r>
          </w:p>
        </w:tc>
        <w:tc>
          <w:tcPr>
            <w:tcW w:w="1722" w:type="dxa"/>
            <w:shd w:val="clear" w:color="auto" w:fill="auto"/>
            <w:vAlign w:val="center"/>
          </w:tcPr>
          <w:p w14:paraId="5FCC13D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1,600</w:t>
            </w:r>
          </w:p>
        </w:tc>
        <w:tc>
          <w:tcPr>
            <w:tcW w:w="1737" w:type="dxa"/>
            <w:shd w:val="clear" w:color="auto" w:fill="auto"/>
            <w:vAlign w:val="center"/>
          </w:tcPr>
          <w:p w14:paraId="17C58B7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1,700</w:t>
            </w:r>
          </w:p>
        </w:tc>
      </w:tr>
      <w:tr w14:paraId="403B3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1986C37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Assets</w:t>
            </w:r>
          </w:p>
        </w:tc>
        <w:tc>
          <w:tcPr>
            <w:tcW w:w="1722" w:type="dxa"/>
            <w:shd w:val="clear" w:color="auto" w:fill="auto"/>
            <w:vAlign w:val="center"/>
          </w:tcPr>
          <w:p w14:paraId="1123532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8,000</w:t>
            </w:r>
          </w:p>
        </w:tc>
        <w:tc>
          <w:tcPr>
            <w:tcW w:w="1737" w:type="dxa"/>
            <w:shd w:val="clear" w:color="auto" w:fill="auto"/>
            <w:vAlign w:val="center"/>
          </w:tcPr>
          <w:p w14:paraId="4A9FB86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8,600</w:t>
            </w:r>
          </w:p>
        </w:tc>
      </w:tr>
      <w:tr w14:paraId="6BE8D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038FB6A6">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Total Liabilities</w:t>
            </w:r>
          </w:p>
        </w:tc>
        <w:tc>
          <w:tcPr>
            <w:tcW w:w="1722" w:type="dxa"/>
            <w:shd w:val="clear" w:color="auto" w:fill="auto"/>
            <w:vAlign w:val="center"/>
          </w:tcPr>
          <w:p w14:paraId="185090B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4,200</w:t>
            </w:r>
          </w:p>
        </w:tc>
        <w:tc>
          <w:tcPr>
            <w:tcW w:w="1737" w:type="dxa"/>
            <w:shd w:val="clear" w:color="auto" w:fill="auto"/>
            <w:vAlign w:val="center"/>
          </w:tcPr>
          <w:p w14:paraId="2690AF4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4,500</w:t>
            </w:r>
          </w:p>
        </w:tc>
      </w:tr>
      <w:tr w14:paraId="24F10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47C3486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w:t>
            </w:r>
          </w:p>
        </w:tc>
        <w:tc>
          <w:tcPr>
            <w:tcW w:w="1722" w:type="dxa"/>
            <w:shd w:val="clear" w:color="auto" w:fill="auto"/>
            <w:vAlign w:val="center"/>
          </w:tcPr>
          <w:p w14:paraId="38A0DA6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3,800</w:t>
            </w:r>
          </w:p>
        </w:tc>
        <w:tc>
          <w:tcPr>
            <w:tcW w:w="1737" w:type="dxa"/>
            <w:shd w:val="clear" w:color="auto" w:fill="auto"/>
            <w:vAlign w:val="center"/>
          </w:tcPr>
          <w:p w14:paraId="29136F4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4,100</w:t>
            </w:r>
          </w:p>
        </w:tc>
      </w:tr>
      <w:tr w14:paraId="781E0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7148CCA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Shares Outstanding</w:t>
            </w:r>
          </w:p>
        </w:tc>
        <w:tc>
          <w:tcPr>
            <w:tcW w:w="1722" w:type="dxa"/>
            <w:shd w:val="clear" w:color="auto" w:fill="auto"/>
            <w:vAlign w:val="center"/>
          </w:tcPr>
          <w:p w14:paraId="1B1DBB1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w:t>
            </w:r>
          </w:p>
        </w:tc>
        <w:tc>
          <w:tcPr>
            <w:tcW w:w="1737" w:type="dxa"/>
            <w:shd w:val="clear" w:color="auto" w:fill="auto"/>
            <w:vAlign w:val="center"/>
          </w:tcPr>
          <w:p w14:paraId="27E8AB9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w:t>
            </w:r>
          </w:p>
        </w:tc>
      </w:tr>
      <w:tr w14:paraId="558C6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63" w:type="dxa"/>
            <w:shd w:val="clear" w:color="auto" w:fill="auto"/>
            <w:vAlign w:val="center"/>
          </w:tcPr>
          <w:p w14:paraId="0DC16F9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Market Capitalization</w:t>
            </w:r>
          </w:p>
        </w:tc>
        <w:tc>
          <w:tcPr>
            <w:tcW w:w="1722" w:type="dxa"/>
            <w:shd w:val="clear" w:color="auto" w:fill="auto"/>
            <w:vAlign w:val="center"/>
          </w:tcPr>
          <w:p w14:paraId="6189921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20,000</w:t>
            </w:r>
          </w:p>
        </w:tc>
        <w:tc>
          <w:tcPr>
            <w:tcW w:w="1737" w:type="dxa"/>
            <w:shd w:val="clear" w:color="auto" w:fill="auto"/>
            <w:vAlign w:val="center"/>
          </w:tcPr>
          <w:p w14:paraId="5AAD5BC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21,500</w:t>
            </w:r>
          </w:p>
        </w:tc>
      </w:tr>
    </w:tbl>
    <w:p w14:paraId="021DDBDB">
      <w:pPr>
        <w:keepNext w:val="0"/>
        <w:keepLines w:val="0"/>
        <w:widowControl/>
        <w:suppressLineNumbers w:val="0"/>
        <w:spacing w:line="360" w:lineRule="auto"/>
        <w:rPr>
          <w:rFonts w:hint="default" w:ascii="Arial" w:hAnsi="Arial" w:cs="Arial"/>
          <w:sz w:val="22"/>
          <w:szCs w:val="22"/>
          <w:shd w:val="clear" w:color="auto" w:fill="auto"/>
        </w:rPr>
      </w:pPr>
    </w:p>
    <w:p w14:paraId="14321A90">
      <w:pPr>
        <w:pStyle w:val="3"/>
        <w:keepNext w:val="0"/>
        <w:keepLines w:val="0"/>
        <w:widowControl/>
        <w:suppressLineNumbers w:val="0"/>
        <w:spacing w:line="360" w:lineRule="auto"/>
        <w:rPr>
          <w:rFonts w:hint="default" w:ascii="Arial" w:hAnsi="Arial" w:cs="Arial"/>
          <w:sz w:val="22"/>
          <w:szCs w:val="22"/>
          <w:shd w:val="clear" w:color="auto" w:fill="auto"/>
        </w:rPr>
      </w:pPr>
      <w:bookmarkStart w:id="26" w:name="_Toc4207"/>
      <w:r>
        <w:rPr>
          <w:rFonts w:hint="default" w:ascii="Arial" w:hAnsi="Arial" w:cs="Arial"/>
          <w:sz w:val="22"/>
          <w:szCs w:val="22"/>
          <w:shd w:val="clear" w:color="auto" w:fill="auto"/>
        </w:rPr>
        <w:t>B. Summary of Key Financial Ratios (2024)</w:t>
      </w:r>
      <w:bookmarkEnd w:id="26"/>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47"/>
        <w:gridCol w:w="1679"/>
        <w:gridCol w:w="1696"/>
      </w:tblGrid>
      <w:tr w14:paraId="1C487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7B6ED9FA">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Ratio</w:t>
            </w:r>
          </w:p>
        </w:tc>
        <w:tc>
          <w:tcPr>
            <w:tcW w:w="985" w:type="pct"/>
            <w:shd w:val="clear" w:color="auto" w:fill="auto"/>
            <w:vAlign w:val="center"/>
          </w:tcPr>
          <w:p w14:paraId="57EED79D">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Adidas</w:t>
            </w:r>
          </w:p>
        </w:tc>
        <w:tc>
          <w:tcPr>
            <w:tcW w:w="994" w:type="pct"/>
            <w:shd w:val="clear" w:color="auto" w:fill="auto"/>
            <w:vAlign w:val="center"/>
          </w:tcPr>
          <w:p w14:paraId="505BB475">
            <w:pPr>
              <w:keepNext w:val="0"/>
              <w:keepLines w:val="0"/>
              <w:widowControl/>
              <w:suppressLineNumbers w:val="0"/>
              <w:spacing w:line="360" w:lineRule="auto"/>
              <w:jc w:val="center"/>
              <w:rPr>
                <w:rFonts w:hint="default" w:ascii="Arial" w:hAnsi="Arial" w:cs="Arial" w:eastAsiaTheme="minorEastAsia"/>
                <w:b/>
                <w:bCs/>
                <w:sz w:val="22"/>
                <w:szCs w:val="22"/>
                <w:shd w:val="clear" w:color="auto" w:fill="auto"/>
                <w:lang w:val="en-US" w:eastAsia="en-US" w:bidi="ar-SA"/>
              </w:rPr>
            </w:pPr>
            <w:r>
              <w:rPr>
                <w:rFonts w:hint="default" w:ascii="Arial" w:hAnsi="Arial" w:eastAsia="SimSun" w:cs="Arial"/>
                <w:b/>
                <w:bCs/>
                <w:kern w:val="0"/>
                <w:sz w:val="22"/>
                <w:szCs w:val="22"/>
                <w:shd w:val="clear" w:color="auto" w:fill="auto"/>
                <w:lang w:val="en-US" w:eastAsia="zh-CN" w:bidi="ar"/>
              </w:rPr>
              <w:t>Puma</w:t>
            </w:r>
          </w:p>
        </w:tc>
      </w:tr>
      <w:tr w14:paraId="386AA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09F9B55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Net Profit Margin</w:t>
            </w:r>
          </w:p>
        </w:tc>
        <w:tc>
          <w:tcPr>
            <w:tcW w:w="985" w:type="pct"/>
            <w:shd w:val="clear" w:color="auto" w:fill="auto"/>
            <w:vAlign w:val="center"/>
          </w:tcPr>
          <w:p w14:paraId="3A19561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10.00%</w:t>
            </w:r>
          </w:p>
        </w:tc>
        <w:tc>
          <w:tcPr>
            <w:tcW w:w="994" w:type="pct"/>
            <w:shd w:val="clear" w:color="auto" w:fill="auto"/>
            <w:vAlign w:val="center"/>
          </w:tcPr>
          <w:p w14:paraId="582B33B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7.65%</w:t>
            </w:r>
          </w:p>
        </w:tc>
      </w:tr>
      <w:tr w14:paraId="170AF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575A06E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Return on Assets (ROA)</w:t>
            </w:r>
          </w:p>
        </w:tc>
        <w:tc>
          <w:tcPr>
            <w:tcW w:w="985" w:type="pct"/>
            <w:shd w:val="clear" w:color="auto" w:fill="auto"/>
            <w:vAlign w:val="center"/>
          </w:tcPr>
          <w:p w14:paraId="631913A2">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12.63%</w:t>
            </w:r>
          </w:p>
        </w:tc>
        <w:tc>
          <w:tcPr>
            <w:tcW w:w="994" w:type="pct"/>
            <w:shd w:val="clear" w:color="auto" w:fill="auto"/>
            <w:vAlign w:val="center"/>
          </w:tcPr>
          <w:p w14:paraId="376F48D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8.72%</w:t>
            </w:r>
          </w:p>
        </w:tc>
      </w:tr>
      <w:tr w14:paraId="40A73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0AB34E6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Return on Equity (ROE)</w:t>
            </w:r>
          </w:p>
        </w:tc>
        <w:tc>
          <w:tcPr>
            <w:tcW w:w="985" w:type="pct"/>
            <w:shd w:val="clear" w:color="auto" w:fill="auto"/>
            <w:vAlign w:val="center"/>
          </w:tcPr>
          <w:p w14:paraId="1C517E7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28.24%</w:t>
            </w:r>
          </w:p>
        </w:tc>
        <w:tc>
          <w:tcPr>
            <w:tcW w:w="994" w:type="pct"/>
            <w:shd w:val="clear" w:color="auto" w:fill="auto"/>
            <w:vAlign w:val="center"/>
          </w:tcPr>
          <w:p w14:paraId="3C9BB1D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18.29%</w:t>
            </w:r>
          </w:p>
        </w:tc>
      </w:tr>
      <w:tr w14:paraId="4E278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7FA09B9D">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Current Ratio</w:t>
            </w:r>
          </w:p>
        </w:tc>
        <w:tc>
          <w:tcPr>
            <w:tcW w:w="985" w:type="pct"/>
            <w:shd w:val="clear" w:color="auto" w:fill="auto"/>
            <w:vAlign w:val="center"/>
          </w:tcPr>
          <w:p w14:paraId="205C532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1.74</w:t>
            </w:r>
          </w:p>
        </w:tc>
        <w:tc>
          <w:tcPr>
            <w:tcW w:w="994" w:type="pct"/>
            <w:shd w:val="clear" w:color="auto" w:fill="auto"/>
            <w:vAlign w:val="center"/>
          </w:tcPr>
          <w:p w14:paraId="0FC8804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1.82</w:t>
            </w:r>
          </w:p>
        </w:tc>
      </w:tr>
      <w:tr w14:paraId="7A7CC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26C9FD47">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Quick Ratio</w:t>
            </w:r>
          </w:p>
        </w:tc>
        <w:tc>
          <w:tcPr>
            <w:tcW w:w="985" w:type="pct"/>
            <w:shd w:val="clear" w:color="auto" w:fill="auto"/>
            <w:vAlign w:val="center"/>
          </w:tcPr>
          <w:p w14:paraId="2799F68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1.23</w:t>
            </w:r>
          </w:p>
        </w:tc>
        <w:tc>
          <w:tcPr>
            <w:tcW w:w="994" w:type="pct"/>
            <w:shd w:val="clear" w:color="auto" w:fill="auto"/>
            <w:vAlign w:val="center"/>
          </w:tcPr>
          <w:p w14:paraId="40C3CCD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w:t>
            </w:r>
          </w:p>
        </w:tc>
      </w:tr>
      <w:tr w14:paraId="21D85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0400E56B">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Inventory Turnover</w:t>
            </w:r>
          </w:p>
        </w:tc>
        <w:tc>
          <w:tcPr>
            <w:tcW w:w="985" w:type="pct"/>
            <w:shd w:val="clear" w:color="auto" w:fill="auto"/>
            <w:vAlign w:val="center"/>
          </w:tcPr>
          <w:p w14:paraId="67C4D5C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10.91</w:t>
            </w:r>
          </w:p>
        </w:tc>
        <w:tc>
          <w:tcPr>
            <w:tcW w:w="994" w:type="pct"/>
            <w:shd w:val="clear" w:color="auto" w:fill="auto"/>
            <w:vAlign w:val="center"/>
          </w:tcPr>
          <w:p w14:paraId="2FEF790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10.32</w:t>
            </w:r>
          </w:p>
        </w:tc>
      </w:tr>
      <w:tr w14:paraId="57E77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3D37B97C">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Asset Turnover</w:t>
            </w:r>
          </w:p>
        </w:tc>
        <w:tc>
          <w:tcPr>
            <w:tcW w:w="985" w:type="pct"/>
            <w:shd w:val="clear" w:color="auto" w:fill="auto"/>
            <w:vAlign w:val="center"/>
          </w:tcPr>
          <w:p w14:paraId="40BAEEA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1.26</w:t>
            </w:r>
          </w:p>
        </w:tc>
        <w:tc>
          <w:tcPr>
            <w:tcW w:w="994" w:type="pct"/>
            <w:shd w:val="clear" w:color="auto" w:fill="auto"/>
            <w:vAlign w:val="center"/>
          </w:tcPr>
          <w:p w14:paraId="078E215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1.14</w:t>
            </w:r>
          </w:p>
        </w:tc>
      </w:tr>
      <w:tr w14:paraId="2D5C1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4244576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Debt to Equity</w:t>
            </w:r>
          </w:p>
        </w:tc>
        <w:tc>
          <w:tcPr>
            <w:tcW w:w="985" w:type="pct"/>
            <w:shd w:val="clear" w:color="auto" w:fill="auto"/>
            <w:vAlign w:val="center"/>
          </w:tcPr>
          <w:p w14:paraId="018B9CF0">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1.24</w:t>
            </w:r>
          </w:p>
        </w:tc>
        <w:tc>
          <w:tcPr>
            <w:tcW w:w="994" w:type="pct"/>
            <w:shd w:val="clear" w:color="auto" w:fill="auto"/>
            <w:vAlign w:val="center"/>
          </w:tcPr>
          <w:p w14:paraId="40B45FBA">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1.10</w:t>
            </w:r>
          </w:p>
        </w:tc>
      </w:tr>
      <w:tr w14:paraId="011C4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343FEA4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Equity Ratio</w:t>
            </w:r>
          </w:p>
        </w:tc>
        <w:tc>
          <w:tcPr>
            <w:tcW w:w="985" w:type="pct"/>
            <w:shd w:val="clear" w:color="auto" w:fill="auto"/>
            <w:vAlign w:val="center"/>
          </w:tcPr>
          <w:p w14:paraId="63E29D81">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44.74%</w:t>
            </w:r>
          </w:p>
        </w:tc>
        <w:tc>
          <w:tcPr>
            <w:tcW w:w="994" w:type="pct"/>
            <w:shd w:val="clear" w:color="auto" w:fill="auto"/>
            <w:vAlign w:val="center"/>
          </w:tcPr>
          <w:p w14:paraId="4A9DB7FF">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47.67%</w:t>
            </w:r>
          </w:p>
        </w:tc>
      </w:tr>
      <w:tr w14:paraId="66C68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35D81C0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Price-to-Earnings (P/E)</w:t>
            </w:r>
          </w:p>
        </w:tc>
        <w:tc>
          <w:tcPr>
            <w:tcW w:w="985" w:type="pct"/>
            <w:shd w:val="clear" w:color="auto" w:fill="auto"/>
            <w:vAlign w:val="center"/>
          </w:tcPr>
          <w:p w14:paraId="29653878">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27.5</w:t>
            </w:r>
          </w:p>
        </w:tc>
        <w:tc>
          <w:tcPr>
            <w:tcW w:w="994" w:type="pct"/>
            <w:shd w:val="clear" w:color="auto" w:fill="auto"/>
            <w:vAlign w:val="center"/>
          </w:tcPr>
          <w:p w14:paraId="05C208DE">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28.67</w:t>
            </w:r>
          </w:p>
        </w:tc>
      </w:tr>
      <w:tr w14:paraId="74665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19" w:type="pct"/>
            <w:shd w:val="clear" w:color="auto" w:fill="auto"/>
            <w:vAlign w:val="center"/>
          </w:tcPr>
          <w:p w14:paraId="0E516014">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Earnings per Share</w:t>
            </w:r>
          </w:p>
        </w:tc>
        <w:tc>
          <w:tcPr>
            <w:tcW w:w="985" w:type="pct"/>
            <w:shd w:val="clear" w:color="auto" w:fill="auto"/>
            <w:vAlign w:val="center"/>
          </w:tcPr>
          <w:p w14:paraId="600DE2C9">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4.80</w:t>
            </w:r>
          </w:p>
        </w:tc>
        <w:tc>
          <w:tcPr>
            <w:tcW w:w="994" w:type="pct"/>
            <w:shd w:val="clear" w:color="auto" w:fill="auto"/>
            <w:vAlign w:val="center"/>
          </w:tcPr>
          <w:p w14:paraId="30992655">
            <w:pPr>
              <w:keepNext w:val="0"/>
              <w:keepLines w:val="0"/>
              <w:widowControl/>
              <w:suppressLineNumbers w:val="0"/>
              <w:spacing w:line="360" w:lineRule="auto"/>
              <w:jc w:val="left"/>
              <w:rPr>
                <w:rFonts w:hint="default" w:ascii="Arial" w:hAnsi="Arial" w:cs="Arial" w:eastAsiaTheme="minorEastAsia"/>
                <w:sz w:val="22"/>
                <w:szCs w:val="22"/>
                <w:shd w:val="clear" w:color="auto" w:fill="auto"/>
                <w:lang w:val="en-US" w:eastAsia="en-US" w:bidi="ar-SA"/>
              </w:rPr>
            </w:pPr>
            <w:r>
              <w:rPr>
                <w:rFonts w:hint="default" w:ascii="Arial" w:hAnsi="Arial" w:eastAsia="SimSun" w:cs="Arial"/>
                <w:kern w:val="0"/>
                <w:sz w:val="22"/>
                <w:szCs w:val="22"/>
                <w:shd w:val="clear" w:color="auto" w:fill="auto"/>
                <w:lang w:val="en-US" w:eastAsia="zh-CN" w:bidi="ar"/>
              </w:rPr>
              <w:t>3.75</w:t>
            </w:r>
          </w:p>
        </w:tc>
      </w:tr>
    </w:tbl>
    <w:p w14:paraId="6CA94CB2">
      <w:pPr>
        <w:spacing w:line="360" w:lineRule="auto"/>
        <w:rPr>
          <w:rFonts w:hint="default" w:ascii="Arial" w:hAnsi="Arial" w:cs="Arial"/>
          <w:sz w:val="22"/>
          <w:szCs w:val="22"/>
          <w:shd w:val="clear" w:color="auto" w:fill="auto"/>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0B8E"/>
    <w:multiLevelType w:val="multilevel"/>
    <w:tmpl w:val="BF7A0B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
    <w:nsid w:val="F7D282C2"/>
    <w:multiLevelType w:val="singleLevel"/>
    <w:tmpl w:val="F7D282C2"/>
    <w:lvl w:ilvl="0" w:tentative="0">
      <w:start w:val="1"/>
      <w:numFmt w:val="decimal"/>
      <w:lvlText w:val="%1."/>
      <w:lvlJc w:val="left"/>
      <w:pPr>
        <w:tabs>
          <w:tab w:val="left" w:pos="425"/>
        </w:tabs>
        <w:ind w:left="425" w:leftChars="0" w:hanging="425" w:firstLineChars="0"/>
      </w:pPr>
      <w:rPr>
        <w:rFonts w:hint="default"/>
      </w:rPr>
    </w:lvl>
  </w:abstractNum>
  <w:abstractNum w:abstractNumId="2">
    <w:nsid w:val="FE539915"/>
    <w:multiLevelType w:val="singleLevel"/>
    <w:tmpl w:val="FE539915"/>
    <w:lvl w:ilvl="0" w:tentative="0">
      <w:start w:val="1"/>
      <w:numFmt w:val="decimal"/>
      <w:lvlText w:val="%1."/>
      <w:lvlJc w:val="left"/>
      <w:pPr>
        <w:tabs>
          <w:tab w:val="left" w:pos="425"/>
        </w:tabs>
        <w:ind w:left="425" w:leftChars="0" w:hanging="425" w:firstLineChars="0"/>
      </w:pPr>
      <w:rPr>
        <w:rFonts w:hint="default"/>
      </w:rPr>
    </w:lvl>
  </w:abstractNum>
  <w:abstractNum w:abstractNumId="3">
    <w:nsid w:val="078E790B"/>
    <w:multiLevelType w:val="multilevel"/>
    <w:tmpl w:val="078E790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4">
    <w:nsid w:val="3201CF78"/>
    <w:multiLevelType w:val="multilevel"/>
    <w:tmpl w:val="3201CF7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62F5E75"/>
    <w:multiLevelType w:val="multilevel"/>
    <w:tmpl w:val="562F5E7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75208C56"/>
    <w:multiLevelType w:val="singleLevel"/>
    <w:tmpl w:val="75208C56"/>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30D30"/>
    <w:rsid w:val="52730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2025-07-23T06:10:00Z</dcterms:created>
  <dc:creator>MG C</dc:creator>
  <cp:lastModifiedBy>MG C</cp:lastModifiedBy>
  <dcterms:modified xsi:type="dcterms:W3CDTF">2025-07-23T07:04:06Z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A3E3744C37CB4FB1ADBDEBA3083FD9DF_11</vt:lpwstr>
  </property>
</Properties>
</file>