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56013">
      <w:pPr>
        <w:jc w:val="center"/>
      </w:pPr>
      <w:r>
        <w:rPr>
          <w:rFonts w:ascii="黑体" w:hAnsi="黑体" w:eastAsia="黑体"/>
          <w:b/>
          <w:sz w:val="40"/>
        </w:rPr>
        <w:t>《决策仿真》课程实践</w:t>
      </w:r>
      <w:r>
        <w:rPr>
          <w:rFonts w:ascii="黑体" w:hAnsi="黑体" w:eastAsia="黑体"/>
          <w:b/>
          <w:sz w:val="40"/>
        </w:rPr>
        <w:br w:type="textWrapping"/>
      </w:r>
      <w:r>
        <w:rPr>
          <w:rFonts w:ascii="黑体" w:hAnsi="黑体" w:eastAsia="黑体"/>
          <w:b/>
          <w:sz w:val="40"/>
        </w:rPr>
        <w:t>第1次课阶段性成果提交表</w:t>
      </w:r>
    </w:p>
    <w:p w14:paraId="4AE7452C">
      <w:pPr>
        <w:jc w:val="center"/>
      </w:pPr>
      <w:r>
        <w:rPr>
          <w:b/>
          <w:sz w:val="24"/>
        </w:rPr>
        <w:t>成果主题：问题定义与仿真研究任务书</w:t>
      </w:r>
    </w:p>
    <w:p w14:paraId="00202607">
      <w:pPr>
        <w:jc w:val="center"/>
      </w:pPr>
      <w:r>
        <w:rPr>
          <w:sz w:val="21"/>
        </w:rPr>
        <w:t>适用于离散事件系统仿真实践项目（小组提交）</w:t>
      </w:r>
    </w:p>
    <w:p w14:paraId="0EB44BD7"/>
    <w:p w14:paraId="2A4997FB">
      <w:pPr>
        <w:pStyle w:val="3"/>
      </w:pPr>
      <w:r>
        <w:t>一、项目基本信息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C66DF10">
        <w:trPr>
          <w:jc w:val="center"/>
        </w:trPr>
        <w:tc>
          <w:tcPr>
            <w:tcW w:w="2351" w:type="dxa"/>
            <w:shd w:val="clear" w:color="auto" w:fill="D9EAF7"/>
            <w:vAlign w:val="center"/>
          </w:tcPr>
          <w:p w14:paraId="528313F2">
            <w:pPr>
              <w:spacing w:after="0" w:line="240" w:lineRule="auto"/>
            </w:pPr>
            <w:r>
              <w:rPr>
                <w:rFonts w:ascii="宋体" w:hAnsi="宋体" w:eastAsia="宋体"/>
                <w:b/>
                <w:sz w:val="21"/>
              </w:rPr>
              <w:t>小组编号</w:t>
            </w:r>
          </w:p>
        </w:tc>
        <w:tc>
          <w:tcPr>
            <w:tcW w:w="2351" w:type="dxa"/>
            <w:vAlign w:val="center"/>
          </w:tcPr>
          <w:p w14:paraId="57CCDEA6">
            <w:pPr>
              <w:spacing w:after="0" w:line="240" w:lineRule="auto"/>
              <w:rPr>
                <w:rFonts w:hint="eastAsia" w:eastAsia="宋体"/>
                <w:lang w:val="en-US" w:eastAsia="zh-CN"/>
              </w:rPr>
            </w:pPr>
            <w:r>
              <w:rPr>
                <w:rFonts w:hint="eastAsia"/>
                <w:lang w:val="en-US" w:eastAsia="zh-CN"/>
              </w:rPr>
              <w:t>2</w:t>
            </w:r>
          </w:p>
        </w:tc>
        <w:tc>
          <w:tcPr>
            <w:tcW w:w="2351" w:type="dxa"/>
            <w:shd w:val="clear" w:color="auto" w:fill="D9EAF7"/>
            <w:vAlign w:val="center"/>
          </w:tcPr>
          <w:p w14:paraId="239F7348">
            <w:pPr>
              <w:spacing w:after="0" w:line="240" w:lineRule="auto"/>
            </w:pPr>
            <w:r>
              <w:rPr>
                <w:rFonts w:ascii="宋体" w:hAnsi="宋体" w:eastAsia="宋体"/>
                <w:b/>
                <w:sz w:val="21"/>
              </w:rPr>
              <w:t>案例编号</w:t>
            </w:r>
          </w:p>
        </w:tc>
        <w:tc>
          <w:tcPr>
            <w:tcW w:w="2351" w:type="dxa"/>
            <w:vAlign w:val="center"/>
          </w:tcPr>
          <w:p w14:paraId="0736CC04">
            <w:pPr>
              <w:spacing w:after="0" w:line="240" w:lineRule="auto"/>
            </w:pPr>
            <w:r>
              <w:t>案例二十一</w:t>
            </w:r>
          </w:p>
        </w:tc>
      </w:tr>
      <w:tr w14:paraId="1A418295">
        <w:trPr>
          <w:jc w:val="center"/>
        </w:trPr>
        <w:tc>
          <w:tcPr>
            <w:tcW w:w="2351" w:type="dxa"/>
            <w:shd w:val="clear" w:color="auto" w:fill="D9EAF7"/>
            <w:vAlign w:val="center"/>
          </w:tcPr>
          <w:p w14:paraId="5AB7D190">
            <w:pPr>
              <w:spacing w:after="0" w:line="240" w:lineRule="auto"/>
            </w:pPr>
            <w:r>
              <w:rPr>
                <w:rFonts w:ascii="宋体" w:hAnsi="宋体" w:eastAsia="宋体"/>
                <w:b/>
                <w:sz w:val="21"/>
              </w:rPr>
              <w:t>案例名称</w:t>
            </w:r>
          </w:p>
        </w:tc>
        <w:tc>
          <w:tcPr>
            <w:tcW w:w="2351" w:type="dxa"/>
            <w:vAlign w:val="center"/>
          </w:tcPr>
          <w:p w14:paraId="428A5E0E">
            <w:pPr>
              <w:spacing w:after="0" w:line="240" w:lineRule="auto"/>
            </w:pPr>
            <w:r>
              <w:t>DeFi 流动性池仿真</w:t>
            </w:r>
          </w:p>
        </w:tc>
        <w:tc>
          <w:tcPr>
            <w:tcW w:w="2351" w:type="dxa"/>
            <w:shd w:val="clear" w:color="auto" w:fill="D9EAF7"/>
            <w:vAlign w:val="center"/>
          </w:tcPr>
          <w:p w14:paraId="6CC86B9C">
            <w:pPr>
              <w:spacing w:after="0" w:line="240" w:lineRule="auto"/>
            </w:pPr>
            <w:r>
              <w:rPr>
                <w:rFonts w:ascii="宋体" w:hAnsi="宋体" w:eastAsia="宋体"/>
                <w:b/>
                <w:sz w:val="21"/>
              </w:rPr>
              <w:t>案例领域</w:t>
            </w:r>
          </w:p>
        </w:tc>
        <w:tc>
          <w:tcPr>
            <w:tcW w:w="2351" w:type="dxa"/>
            <w:vAlign w:val="center"/>
          </w:tcPr>
          <w:p w14:paraId="1FBAA2F1">
            <w:pPr>
              <w:spacing w:after="0" w:line="240" w:lineRule="auto"/>
            </w:pPr>
            <w:r>
              <w:t>区块链 · 去中心化金融（DeFi）</w:t>
            </w:r>
          </w:p>
        </w:tc>
      </w:tr>
      <w:tr w14:paraId="07C7CE93">
        <w:trPr>
          <w:jc w:val="center"/>
        </w:trPr>
        <w:tc>
          <w:tcPr>
            <w:tcW w:w="2351" w:type="dxa"/>
            <w:shd w:val="clear" w:color="auto" w:fill="D9EAF7"/>
            <w:vAlign w:val="center"/>
          </w:tcPr>
          <w:p w14:paraId="5B80BB2F">
            <w:pPr>
              <w:spacing w:after="0" w:line="240" w:lineRule="auto"/>
            </w:pPr>
            <w:r>
              <w:rPr>
                <w:rFonts w:ascii="宋体" w:hAnsi="宋体" w:eastAsia="宋体"/>
                <w:b/>
                <w:sz w:val="21"/>
              </w:rPr>
              <w:t>组长</w:t>
            </w:r>
          </w:p>
        </w:tc>
        <w:tc>
          <w:tcPr>
            <w:tcW w:w="2351" w:type="dxa"/>
            <w:vAlign w:val="center"/>
          </w:tcPr>
          <w:p w14:paraId="041A058D">
            <w:pPr>
              <w:spacing w:after="0" w:line="240" w:lineRule="auto"/>
            </w:pPr>
            <w:r>
              <w:t>陶唐</w:t>
            </w:r>
          </w:p>
        </w:tc>
        <w:tc>
          <w:tcPr>
            <w:tcW w:w="2351" w:type="dxa"/>
            <w:shd w:val="clear" w:color="auto" w:fill="D9EAF7"/>
            <w:vAlign w:val="center"/>
          </w:tcPr>
          <w:p w14:paraId="6E006868">
            <w:pPr>
              <w:spacing w:after="0" w:line="240" w:lineRule="auto"/>
            </w:pPr>
            <w:r>
              <w:rPr>
                <w:rFonts w:ascii="宋体" w:hAnsi="宋体" w:eastAsia="宋体"/>
                <w:b/>
                <w:sz w:val="21"/>
              </w:rPr>
              <w:t>成员</w:t>
            </w:r>
          </w:p>
        </w:tc>
        <w:tc>
          <w:tcPr>
            <w:tcW w:w="2351" w:type="dxa"/>
            <w:vAlign w:val="center"/>
          </w:tcPr>
          <w:p w14:paraId="47D0CD3D">
            <w:pPr>
              <w:spacing w:after="0" w:line="240" w:lineRule="auto"/>
              <w:rPr>
                <w:rFonts w:hint="default" w:eastAsia="宋体"/>
                <w:lang w:val="en-US" w:eastAsia="zh-CN"/>
              </w:rPr>
            </w:pPr>
            <w:r>
              <w:rPr>
                <w:rFonts w:hint="eastAsia"/>
                <w:lang w:val="en-US" w:eastAsia="zh-CN"/>
              </w:rPr>
              <w:t>范心宇，吴曼骐，陶博文，林佳辉，曾镜月</w:t>
            </w:r>
          </w:p>
        </w:tc>
      </w:tr>
      <w:tr w14:paraId="16978B7C">
        <w:trPr>
          <w:jc w:val="center"/>
        </w:trPr>
        <w:tc>
          <w:tcPr>
            <w:tcW w:w="2351" w:type="dxa"/>
            <w:shd w:val="clear" w:color="auto" w:fill="D9EAF7"/>
            <w:vAlign w:val="center"/>
          </w:tcPr>
          <w:p w14:paraId="64A9626C">
            <w:pPr>
              <w:spacing w:after="0" w:line="240" w:lineRule="auto"/>
            </w:pPr>
            <w:r>
              <w:rPr>
                <w:rFonts w:ascii="宋体" w:hAnsi="宋体" w:eastAsia="宋体"/>
                <w:b/>
                <w:sz w:val="21"/>
              </w:rPr>
              <w:t>指导教师</w:t>
            </w:r>
          </w:p>
        </w:tc>
        <w:tc>
          <w:tcPr>
            <w:tcW w:w="2351" w:type="dxa"/>
            <w:vAlign w:val="center"/>
          </w:tcPr>
          <w:p w14:paraId="0D59558D">
            <w:pPr>
              <w:spacing w:after="0" w:line="240" w:lineRule="auto"/>
            </w:pPr>
            <w:r>
              <w:t>邵志芳</w:t>
            </w:r>
          </w:p>
        </w:tc>
        <w:tc>
          <w:tcPr>
            <w:tcW w:w="2351" w:type="dxa"/>
            <w:shd w:val="clear" w:color="auto" w:fill="D9EAF7"/>
            <w:vAlign w:val="center"/>
          </w:tcPr>
          <w:p w14:paraId="20355098">
            <w:pPr>
              <w:spacing w:after="0" w:line="240" w:lineRule="auto"/>
            </w:pPr>
            <w:r>
              <w:rPr>
                <w:rFonts w:ascii="宋体" w:hAnsi="宋体" w:eastAsia="宋体"/>
                <w:b/>
                <w:sz w:val="21"/>
              </w:rPr>
              <w:t>提交日期</w:t>
            </w:r>
          </w:p>
        </w:tc>
        <w:tc>
          <w:tcPr>
            <w:tcW w:w="2351" w:type="dxa"/>
            <w:vAlign w:val="center"/>
          </w:tcPr>
          <w:p w14:paraId="38CB7AAF">
            <w:pPr>
              <w:spacing w:after="0" w:line="240" w:lineRule="auto"/>
            </w:pPr>
            <w:r>
              <w:t>2026年10月1</w:t>
            </w:r>
            <w:r>
              <w:rPr>
                <w:rFonts w:hint="eastAsia"/>
                <w:lang w:val="en-US" w:eastAsia="zh-CN"/>
              </w:rPr>
              <w:t>6</w:t>
            </w:r>
            <w:r>
              <w:t>日</w:t>
            </w:r>
          </w:p>
        </w:tc>
      </w:tr>
      <w:tr w14:paraId="0CBAAC87">
        <w:trPr>
          <w:jc w:val="center"/>
        </w:trPr>
        <w:tc>
          <w:tcPr>
            <w:tcW w:w="2351" w:type="dxa"/>
            <w:shd w:val="clear" w:color="auto" w:fill="D9EAF7"/>
            <w:vAlign w:val="center"/>
          </w:tcPr>
          <w:p w14:paraId="447428E9">
            <w:pPr>
              <w:spacing w:after="0" w:line="240" w:lineRule="auto"/>
            </w:pPr>
            <w:r>
              <w:rPr>
                <w:rFonts w:ascii="宋体" w:hAnsi="宋体" w:eastAsia="宋体"/>
                <w:b/>
                <w:sz w:val="21"/>
              </w:rPr>
              <w:t>本组分工</w:t>
            </w:r>
          </w:p>
        </w:tc>
        <w:tc>
          <w:tcPr>
            <w:tcW w:w="2351" w:type="dxa"/>
            <w:vAlign w:val="center"/>
          </w:tcPr>
          <w:p w14:paraId="15E9BD10">
            <w:pPr>
              <w:spacing w:after="0" w:line="240" w:lineRule="auto"/>
            </w:pPr>
            <w:r>
              <w:t>陶唐：问题定义与概念模型设计、仿真报告统稿；</w:t>
            </w:r>
            <w:r>
              <w:rPr>
                <w:rFonts w:hint="eastAsia"/>
                <w:lang w:val="en-US" w:eastAsia="zh-CN"/>
              </w:rPr>
              <w:t>范心宇，林佳辉</w:t>
            </w:r>
            <w:r>
              <w:t>：Arena 模型搭建与调试</w:t>
            </w:r>
            <w:r>
              <w:rPr>
                <w:rFonts w:hint="eastAsia"/>
                <w:lang w:eastAsia="zh-CN"/>
              </w:rPr>
              <w:t>；</w:t>
            </w:r>
            <w:r>
              <w:rPr>
                <w:rFonts w:hint="eastAsia"/>
                <w:lang w:val="en-US" w:eastAsia="zh-CN"/>
              </w:rPr>
              <w:t>吴曼骐</w:t>
            </w:r>
            <w:r>
              <w:t>：实验设计、数据分析与图表制作；</w:t>
            </w:r>
            <w:r>
              <w:rPr>
                <w:rFonts w:hint="eastAsia"/>
                <w:lang w:val="en-US" w:eastAsia="zh-CN"/>
              </w:rPr>
              <w:t>陶博文，曾镜月</w:t>
            </w:r>
            <w:r>
              <w:t>：模型验证、管理建议撰写与汇报答辩</w:t>
            </w:r>
          </w:p>
        </w:tc>
        <w:tc>
          <w:tcPr>
            <w:tcW w:w="2351" w:type="dxa"/>
            <w:shd w:val="clear" w:color="auto" w:fill="D9EAF7"/>
            <w:vAlign w:val="center"/>
          </w:tcPr>
          <w:p w14:paraId="0BDE74C1">
            <w:pPr>
              <w:spacing w:after="0" w:line="240" w:lineRule="auto"/>
            </w:pPr>
            <w:r>
              <w:rPr>
                <w:rFonts w:ascii="宋体" w:hAnsi="宋体" w:eastAsia="宋体"/>
                <w:b/>
                <w:sz w:val="21"/>
              </w:rPr>
              <w:t>案例来源</w:t>
            </w:r>
          </w:p>
        </w:tc>
        <w:tc>
          <w:tcPr>
            <w:tcW w:w="2351" w:type="dxa"/>
            <w:vAlign w:val="center"/>
          </w:tcPr>
          <w:p w14:paraId="4E39E09B">
            <w:pPr>
              <w:spacing w:after="0" w:line="240" w:lineRule="auto"/>
            </w:pPr>
            <w:r>
              <w:t>☑课程案例  □教师指定  □其他</w:t>
            </w:r>
          </w:p>
        </w:tc>
      </w:tr>
      <w:tr w14:paraId="3E95F84D">
        <w:trPr>
          <w:jc w:val="center"/>
        </w:trPr>
        <w:tc>
          <w:tcPr>
            <w:tcW w:w="2351" w:type="dxa"/>
            <w:shd w:val="clear" w:color="auto" w:fill="D9EAF7"/>
            <w:vAlign w:val="center"/>
          </w:tcPr>
          <w:p w14:paraId="67CFDE7E">
            <w:pPr>
              <w:spacing w:after="0" w:line="240" w:lineRule="auto"/>
            </w:pPr>
            <w:r>
              <w:rPr>
                <w:rFonts w:ascii="宋体" w:hAnsi="宋体" w:eastAsia="宋体"/>
                <w:b/>
                <w:sz w:val="21"/>
              </w:rPr>
              <w:t>研究软件</w:t>
            </w:r>
          </w:p>
        </w:tc>
        <w:tc>
          <w:tcPr>
            <w:tcW w:w="2351" w:type="dxa"/>
            <w:vAlign w:val="center"/>
          </w:tcPr>
          <w:p w14:paraId="10B45F5D">
            <w:pPr>
              <w:spacing w:after="0" w:line="240" w:lineRule="auto"/>
              <w:rPr>
                <w:rFonts w:hint="eastAsia" w:eastAsia="宋体"/>
                <w:lang w:eastAsia="zh-CN"/>
              </w:rPr>
            </w:pPr>
            <w:r>
              <w:t xml:space="preserve">☑ Arena  </w:t>
            </w:r>
            <w:r>
              <w:rPr>
                <w:rFonts w:hint="eastAsia"/>
                <w:lang w:eastAsia="zh-CN"/>
              </w:rPr>
              <w:t>☑</w:t>
            </w:r>
            <w:r>
              <w:t>其他：</w:t>
            </w:r>
            <w:r>
              <w:rPr>
                <w:rFonts w:hint="eastAsia"/>
                <w:lang w:val="en-US" w:eastAsia="zh-CN"/>
              </w:rPr>
              <w:t>Python</w:t>
            </w:r>
          </w:p>
        </w:tc>
        <w:tc>
          <w:tcPr>
            <w:tcW w:w="2351" w:type="dxa"/>
            <w:shd w:val="clear" w:color="auto" w:fill="D9EAF7"/>
            <w:vAlign w:val="center"/>
          </w:tcPr>
          <w:p w14:paraId="064BD633">
            <w:pPr>
              <w:spacing w:after="0" w:line="240" w:lineRule="auto"/>
            </w:pPr>
            <w:r>
              <w:rPr>
                <w:rFonts w:ascii="宋体" w:hAnsi="宋体" w:eastAsia="宋体"/>
                <w:b/>
                <w:sz w:val="21"/>
              </w:rPr>
              <w:t>预计仿真周期</w:t>
            </w:r>
          </w:p>
        </w:tc>
        <w:tc>
          <w:tcPr>
            <w:tcW w:w="2351" w:type="dxa"/>
            <w:vAlign w:val="center"/>
          </w:tcPr>
          <w:p w14:paraId="3F59D9ED">
            <w:pPr>
              <w:spacing w:after="0" w:line="240" w:lineRule="auto"/>
            </w:pPr>
            <w:r>
              <w:t>168 小时（7 天，以小时为时间单位），10 次重复仿真</w:t>
            </w:r>
          </w:p>
        </w:tc>
      </w:tr>
    </w:tbl>
    <w:p w14:paraId="56886D59"/>
    <w:p w14:paraId="74208EA3">
      <w:pPr>
        <w:pStyle w:val="3"/>
      </w:pPr>
      <w:r>
        <w:t>二、本次课程成果要求</w:t>
      </w:r>
    </w:p>
    <w:p w14:paraId="3F5FA138">
      <w:r>
        <w:rPr>
          <w:b/>
        </w:rPr>
        <w:t>本次课的核心任务：</w:t>
      </w:r>
      <w:r>
        <w:t>明确“仿真什么、为什么仿真、系统边界在哪里、需要解决什么决策问题”。本次不要求建立Arena模型，不要求给出仿真结果，重点形成后续概念建模和数据准备的基础。</w:t>
      </w:r>
    </w:p>
    <w:p w14:paraId="5F539C34">
      <w:r>
        <w:rPr>
          <w:b/>
        </w:rPr>
        <w:t>成果应做到：</w:t>
      </w:r>
      <w:r>
        <w:t>问题具体、边界清楚、主体明确、流程可描述、决策变量可识别、评价指标可衡量。</w:t>
      </w:r>
    </w:p>
    <w:p w14:paraId="5A05E18B">
      <w:pPr>
        <w:pStyle w:val="3"/>
      </w:pPr>
      <w:r>
        <w:t>三、案例背景与现实问题</w:t>
      </w:r>
    </w:p>
    <w:p w14:paraId="69C587CF">
      <w:r>
        <w:rPr>
          <w:b/>
        </w:rPr>
        <w:t>1. 案例背景概述</w:t>
      </w:r>
    </w:p>
    <w:p w14:paraId="61E5F10E">
      <w:r>
        <w:t>请用150—300字说明案例所处的业务/管理场景、系统运行环境、主要参与者以及当前存在的运营或管理问题。</w:t>
      </w:r>
    </w:p>
    <w:p w14:paraId="210D82E2">
      <w:r>
        <w:t>某去中心化交易所（DEX）运营一个基于自动化做市商（AMM）机制的 Token A / Token B 流动性池，采用恒定乘积定价模型（储备A × 储备B = 常数），初始储备为 100 万枚 Token A 和 200 万枚 Token B（初始价格 1 A = 2 B），每笔交易收取 0.3% 的手续费并回流至池中。系统的主要参与者包括进行代币兑换的交易用户和提供/撤出流动性的流动性提供者（LP）。交易用户到达间隔服从均值为 5 分钟的指数分布，按规模分为小额（60%）、中额（30%）、大额（10%）三类，滑点容忍度分别为 1%、3%、5%；LP 平均每隔 2 小时添加一次流动性、每隔 3 小时移除一次流动性；外部市场中 Token A 价格做随机游走，每小时变化率服从 N(0, 2%)。当前运营中的管理问题是：大额交易引发的价格冲击可能超出用户滑点容忍度，外部价格波动使 LP 面临无常损失，而手续费率等关键参数的设定缺乏量化依据。</w:t>
      </w:r>
    </w:p>
    <w:p w14:paraId="1BD8C4F6"/>
    <w:p w14:paraId="02A02F76"/>
    <w:p w14:paraId="74178F01"/>
    <w:p w14:paraId="66CFB7D4"/>
    <w:p w14:paraId="4444FCA2">
      <w:r>
        <w:rPr>
          <w:b/>
        </w:rPr>
        <w:t>2. 现实管理问题</w:t>
      </w:r>
    </w:p>
    <w:p w14:paraId="442BEB48">
      <w:r>
        <w:t>回答：现实系统中“哪里出现了问题？为什么值得研究？如果不解决会造成什么后果？”</w:t>
      </w:r>
    </w:p>
    <w:p w14:paraId="2CBAEF6A">
      <w:r>
        <w:t>出现的问题：① 大额交易对池内价格冲击大，实际成交价滑点可能超出用户容忍度，影响交易体验甚至导致交易流失；② 外部市场价格波动使 LP 遭受无常损失，若手续费收入不足以覆盖，LP 将撤出流动性，池深下降又会进一步放大滑点，形成恶性循环；③ 手续费率（0.3%）的设定缺乏依据：定高了抑制交易量，定低了 LP 收益无法保障。为什么值得研究：交易到达、交易规模、LP 行为与外部价格波动均为随机过程，且通过恒定乘积机制相互耦合，难以用解析方法求解，适合用离散事件仿真进行量化评估。不解决的后果：DEX 可能出现流动性流失、交易量萎缩、用户与 LP 双双撤离的运营风险，参数调整只能依赖经验试错，成本高昂。</w:t>
      </w:r>
    </w:p>
    <w:p w14:paraId="08E23E44"/>
    <w:p w14:paraId="043D1B4C"/>
    <w:p w14:paraId="2D42FE4C"/>
    <w:p w14:paraId="2D4041B2">
      <w:pPr>
        <w:pStyle w:val="3"/>
      </w:pPr>
      <w:r>
        <w:t>四、仿真系统研究对象</w:t>
      </w:r>
    </w:p>
    <w:p w14:paraId="2B8B5161">
      <w:r>
        <w:t>明确本组准备研究的“离散事件系统”。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E667C45">
        <w:trPr>
          <w:jc w:val="center"/>
        </w:trPr>
        <w:tc>
          <w:tcPr>
            <w:tcW w:w="3135" w:type="dxa"/>
            <w:shd w:val="clear" w:color="auto" w:fill="D9EAF7"/>
            <w:vAlign w:val="center"/>
          </w:tcPr>
          <w:p w14:paraId="7295DA24">
            <w:pPr>
              <w:spacing w:after="0" w:line="240" w:lineRule="auto"/>
            </w:pPr>
            <w:r>
              <w:rPr>
                <w:rFonts w:ascii="宋体" w:hAnsi="宋体" w:eastAsia="宋体"/>
                <w:b/>
                <w:sz w:val="21"/>
              </w:rPr>
              <w:t>项目</w:t>
            </w:r>
          </w:p>
        </w:tc>
        <w:tc>
          <w:tcPr>
            <w:tcW w:w="3135" w:type="dxa"/>
            <w:shd w:val="clear" w:color="auto" w:fill="D9EAF7"/>
            <w:vAlign w:val="center"/>
          </w:tcPr>
          <w:p w14:paraId="12ED5D8E">
            <w:pPr>
              <w:spacing w:after="0" w:line="240" w:lineRule="auto"/>
            </w:pPr>
            <w:r>
              <w:rPr>
                <w:rFonts w:ascii="宋体" w:hAnsi="宋体" w:eastAsia="宋体"/>
                <w:b/>
                <w:sz w:val="21"/>
              </w:rPr>
              <w:t>填写内容</w:t>
            </w:r>
          </w:p>
        </w:tc>
        <w:tc>
          <w:tcPr>
            <w:tcW w:w="3135" w:type="dxa"/>
            <w:shd w:val="clear" w:color="auto" w:fill="D9EAF7"/>
            <w:vAlign w:val="center"/>
          </w:tcPr>
          <w:p w14:paraId="67B6E80F">
            <w:pPr>
              <w:spacing w:after="0" w:line="240" w:lineRule="auto"/>
            </w:pPr>
            <w:r>
              <w:rPr>
                <w:rFonts w:ascii="宋体" w:hAnsi="宋体" w:eastAsia="宋体"/>
                <w:b/>
                <w:sz w:val="21"/>
              </w:rPr>
              <w:t>填写要求</w:t>
            </w:r>
          </w:p>
        </w:tc>
      </w:tr>
      <w:tr w14:paraId="255D88FA">
        <w:trPr>
          <w:jc w:val="center"/>
        </w:trPr>
        <w:tc>
          <w:tcPr>
            <w:tcW w:w="3135" w:type="dxa"/>
            <w:vAlign w:val="center"/>
          </w:tcPr>
          <w:p w14:paraId="448E050F">
            <w:pPr>
              <w:spacing w:after="0" w:line="240" w:lineRule="auto"/>
            </w:pPr>
            <w:r>
              <w:rPr>
                <w:rFonts w:ascii="宋体" w:hAnsi="宋体" w:eastAsia="宋体"/>
                <w:b w:val="0"/>
                <w:sz w:val="21"/>
              </w:rPr>
              <w:t>系统名称</w:t>
            </w:r>
          </w:p>
        </w:tc>
        <w:tc>
          <w:tcPr>
            <w:tcW w:w="3135" w:type="dxa"/>
            <w:vAlign w:val="center"/>
          </w:tcPr>
          <w:p w14:paraId="3BC0629C">
            <w:pPr>
              <w:spacing w:after="0" w:line="240" w:lineRule="auto"/>
            </w:pPr>
            <w:r>
              <w:t>DEX 恒定乘积 AMM 流动性池交易系统（Token A / Token B 池）</w:t>
            </w:r>
          </w:p>
        </w:tc>
        <w:tc>
          <w:tcPr>
            <w:tcW w:w="3135" w:type="dxa"/>
            <w:vAlign w:val="center"/>
          </w:tcPr>
          <w:p w14:paraId="322DC003">
            <w:pPr>
              <w:spacing w:after="0" w:line="240" w:lineRule="auto"/>
            </w:pPr>
            <w:r>
              <w:rPr>
                <w:rFonts w:ascii="宋体" w:hAnsi="宋体" w:eastAsia="宋体"/>
                <w:b w:val="0"/>
                <w:sz w:val="21"/>
              </w:rPr>
              <w:t>给出简洁、明确的系统名称</w:t>
            </w:r>
          </w:p>
        </w:tc>
      </w:tr>
      <w:tr w14:paraId="4B7D39BB">
        <w:trPr>
          <w:jc w:val="center"/>
        </w:trPr>
        <w:tc>
          <w:tcPr>
            <w:tcW w:w="3135" w:type="dxa"/>
            <w:vAlign w:val="center"/>
          </w:tcPr>
          <w:p w14:paraId="2CCDFEEE">
            <w:pPr>
              <w:spacing w:after="0" w:line="240" w:lineRule="auto"/>
            </w:pPr>
            <w:r>
              <w:rPr>
                <w:rFonts w:ascii="宋体" w:hAnsi="宋体" w:eastAsia="宋体"/>
                <w:b w:val="0"/>
                <w:sz w:val="21"/>
              </w:rPr>
              <w:t>系统目的</w:t>
            </w:r>
          </w:p>
        </w:tc>
        <w:tc>
          <w:tcPr>
            <w:tcW w:w="3135" w:type="dxa"/>
            <w:vAlign w:val="center"/>
          </w:tcPr>
          <w:p w14:paraId="30976204">
            <w:pPr>
              <w:spacing w:after="0" w:line="240" w:lineRule="auto"/>
            </w:pPr>
            <w:r>
              <w:t>为用户在 Token A 与 Token B 之间提供连续、自动化的兑换交易服务，并通过手续费激励 LP 提供流动性，维持池子的交易深度与价格稳定</w:t>
            </w:r>
          </w:p>
        </w:tc>
        <w:tc>
          <w:tcPr>
            <w:tcW w:w="3135" w:type="dxa"/>
            <w:vAlign w:val="center"/>
          </w:tcPr>
          <w:p w14:paraId="34BF1588">
            <w:pPr>
              <w:spacing w:after="0" w:line="240" w:lineRule="auto"/>
            </w:pPr>
            <w:r>
              <w:rPr>
                <w:rFonts w:ascii="宋体" w:hAnsi="宋体" w:eastAsia="宋体"/>
                <w:b w:val="0"/>
                <w:sz w:val="21"/>
              </w:rPr>
              <w:t>说明系统提供什么服务/完成什么任务</w:t>
            </w:r>
          </w:p>
        </w:tc>
      </w:tr>
      <w:tr w14:paraId="65100AEA">
        <w:trPr>
          <w:jc w:val="center"/>
        </w:trPr>
        <w:tc>
          <w:tcPr>
            <w:tcW w:w="3135" w:type="dxa"/>
            <w:vAlign w:val="center"/>
          </w:tcPr>
          <w:p w14:paraId="70A4474D">
            <w:pPr>
              <w:spacing w:after="0" w:line="240" w:lineRule="auto"/>
            </w:pPr>
            <w:r>
              <w:rPr>
                <w:rFonts w:ascii="宋体" w:hAnsi="宋体" w:eastAsia="宋体"/>
                <w:b w:val="0"/>
                <w:sz w:val="21"/>
              </w:rPr>
              <w:t>主要实体（Entity）</w:t>
            </w:r>
          </w:p>
        </w:tc>
        <w:tc>
          <w:tcPr>
            <w:tcW w:w="3135" w:type="dxa"/>
            <w:vAlign w:val="center"/>
          </w:tcPr>
          <w:p w14:paraId="4A1ED6CE">
            <w:pPr>
              <w:spacing w:after="0" w:line="240" w:lineRule="auto"/>
            </w:pPr>
            <w:r>
              <w:t>交易订单（小额/中额/大额，含交易方向、规模、滑点容忍度等属性）；LP 流动性操作事件（添加/移除流动性，含规模属性）；外部市场价格波动事件（每小时）</w:t>
            </w:r>
          </w:p>
        </w:tc>
        <w:tc>
          <w:tcPr>
            <w:tcW w:w="3135" w:type="dxa"/>
            <w:vAlign w:val="center"/>
          </w:tcPr>
          <w:p w14:paraId="1C63EA2F">
            <w:pPr>
              <w:spacing w:after="0" w:line="240" w:lineRule="auto"/>
            </w:pPr>
            <w:r>
              <w:rPr>
                <w:rFonts w:ascii="宋体" w:hAnsi="宋体" w:eastAsia="宋体"/>
                <w:b w:val="0"/>
                <w:sz w:val="21"/>
              </w:rPr>
              <w:t>如车辆、订单、顾客、设备、患者等</w:t>
            </w:r>
          </w:p>
        </w:tc>
      </w:tr>
      <w:tr w14:paraId="34A052A3">
        <w:trPr>
          <w:jc w:val="center"/>
        </w:trPr>
        <w:tc>
          <w:tcPr>
            <w:tcW w:w="3135" w:type="dxa"/>
            <w:vAlign w:val="center"/>
          </w:tcPr>
          <w:p w14:paraId="7793E14B">
            <w:pPr>
              <w:spacing w:after="0" w:line="240" w:lineRule="auto"/>
            </w:pPr>
            <w:r>
              <w:rPr>
                <w:rFonts w:ascii="宋体" w:hAnsi="宋体" w:eastAsia="宋体"/>
                <w:b w:val="0"/>
                <w:sz w:val="21"/>
              </w:rPr>
              <w:t>主要资源（Resource）</w:t>
            </w:r>
          </w:p>
        </w:tc>
        <w:tc>
          <w:tcPr>
            <w:tcW w:w="3135" w:type="dxa"/>
            <w:vAlign w:val="center"/>
          </w:tcPr>
          <w:p w14:paraId="7CCC7F15">
            <w:pPr>
              <w:spacing w:after="0" w:line="240" w:lineRule="auto"/>
            </w:pPr>
            <w:r>
              <w:t>流动性池本身（Token A、Token B 双边储备，池深由 LP 注入的流动性决定，无容量上限；储备既是「库存」又充当定价与结算的「服务台」）</w:t>
            </w:r>
          </w:p>
        </w:tc>
        <w:tc>
          <w:tcPr>
            <w:tcW w:w="3135" w:type="dxa"/>
            <w:vAlign w:val="center"/>
          </w:tcPr>
          <w:p w14:paraId="560B416E">
            <w:pPr>
              <w:spacing w:after="0" w:line="240" w:lineRule="auto"/>
            </w:pPr>
            <w:r>
              <w:rPr>
                <w:rFonts w:ascii="宋体" w:hAnsi="宋体" w:eastAsia="宋体"/>
                <w:b w:val="0"/>
                <w:sz w:val="21"/>
              </w:rPr>
              <w:t>如充电桩、服务人员、机器、工位等</w:t>
            </w:r>
          </w:p>
        </w:tc>
      </w:tr>
    </w:tbl>
    <w:p w14:paraId="6BE7B255">
      <w:r>
        <w:t>主要实体、资源及其关系补充说明：</w:t>
      </w:r>
    </w:p>
    <w:p w14:paraId="5B8F5F0A">
      <w:r>
        <w:t>本系统中「实体」为三类事件流：交易订单、LP 添加/移除流动性操作、外部市场价格变化；核心「资源」为流动性池的双边代币储备（Token A 与 Token B），它同时充当「服务台」——交易通过消耗/补充储备按恒定乘积规则即时成交，无需排队撮合。LP 操作改变资源总量（池深），外部价格事件改变系统环境的参照价格并驱动无常损失。三类实体通过共享状态变量（储备A、储备B、累计手续费）相互耦合。</w:t>
      </w:r>
    </w:p>
    <w:p w14:paraId="1E80E234"/>
    <w:p w14:paraId="3018126E"/>
    <w:p w14:paraId="3FB20C0A">
      <w:pPr>
        <w:pStyle w:val="3"/>
      </w:pPr>
      <w:r>
        <w:t>五、系统边界与研究范围</w:t>
      </w:r>
    </w:p>
    <w:p w14:paraId="0402A166">
      <w:r>
        <w:t>请明确哪些环节纳入仿真，哪些环节不纳入仿真，并说明理由。</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E22FB30">
        <w:trPr>
          <w:jc w:val="center"/>
        </w:trPr>
        <w:tc>
          <w:tcPr>
            <w:tcW w:w="3135" w:type="dxa"/>
            <w:shd w:val="clear" w:color="auto" w:fill="D9EAF7"/>
            <w:vAlign w:val="center"/>
          </w:tcPr>
          <w:p w14:paraId="005B2533">
            <w:pPr>
              <w:spacing w:after="0" w:line="240" w:lineRule="auto"/>
            </w:pPr>
            <w:r>
              <w:rPr>
                <w:rFonts w:ascii="宋体" w:hAnsi="宋体" w:eastAsia="宋体"/>
                <w:b/>
                <w:sz w:val="21"/>
              </w:rPr>
              <w:t>内容</w:t>
            </w:r>
          </w:p>
        </w:tc>
        <w:tc>
          <w:tcPr>
            <w:tcW w:w="3135" w:type="dxa"/>
            <w:shd w:val="clear" w:color="auto" w:fill="D9EAF7"/>
            <w:vAlign w:val="center"/>
          </w:tcPr>
          <w:p w14:paraId="6502C694">
            <w:pPr>
              <w:spacing w:after="0" w:line="240" w:lineRule="auto"/>
            </w:pPr>
            <w:r>
              <w:rPr>
                <w:rFonts w:ascii="宋体" w:hAnsi="宋体" w:eastAsia="宋体"/>
                <w:b/>
                <w:sz w:val="21"/>
              </w:rPr>
              <w:t>本研究是否纳入</w:t>
            </w:r>
          </w:p>
        </w:tc>
        <w:tc>
          <w:tcPr>
            <w:tcW w:w="3135" w:type="dxa"/>
            <w:shd w:val="clear" w:color="auto" w:fill="D9EAF7"/>
            <w:vAlign w:val="center"/>
          </w:tcPr>
          <w:p w14:paraId="38D98732">
            <w:pPr>
              <w:spacing w:after="0" w:line="240" w:lineRule="auto"/>
            </w:pPr>
            <w:r>
              <w:rPr>
                <w:rFonts w:ascii="宋体" w:hAnsi="宋体" w:eastAsia="宋体"/>
                <w:b/>
                <w:sz w:val="21"/>
              </w:rPr>
              <w:t>说明</w:t>
            </w:r>
          </w:p>
        </w:tc>
      </w:tr>
      <w:tr w14:paraId="3F9AF466">
        <w:trPr>
          <w:jc w:val="center"/>
        </w:trPr>
        <w:tc>
          <w:tcPr>
            <w:tcW w:w="3135" w:type="dxa"/>
            <w:vAlign w:val="center"/>
          </w:tcPr>
          <w:p w14:paraId="684AACF4">
            <w:pPr>
              <w:spacing w:after="0" w:line="240" w:lineRule="auto"/>
            </w:pPr>
            <w:r>
              <w:rPr>
                <w:rFonts w:ascii="宋体" w:hAnsi="宋体" w:eastAsia="宋体"/>
                <w:b w:val="0"/>
                <w:sz w:val="21"/>
              </w:rPr>
              <w:t>系统入口（实体到达）</w:t>
            </w:r>
          </w:p>
        </w:tc>
        <w:tc>
          <w:tcPr>
            <w:tcW w:w="3135" w:type="dxa"/>
            <w:vAlign w:val="center"/>
          </w:tcPr>
          <w:p w14:paraId="347B6F38">
            <w:pPr>
              <w:spacing w:after="0" w:line="240" w:lineRule="auto"/>
            </w:pPr>
            <w:r>
              <w:t>☑ 是   □ 否</w:t>
            </w:r>
          </w:p>
        </w:tc>
        <w:tc>
          <w:tcPr>
            <w:tcW w:w="3135" w:type="dxa"/>
            <w:vAlign w:val="center"/>
          </w:tcPr>
          <w:p w14:paraId="339E066F">
            <w:pPr>
              <w:spacing w:after="0" w:line="240" w:lineRule="auto"/>
            </w:pPr>
            <w:r>
              <w:t>交易用户按 EXPO(5 min) 到达；LP 添加/移除分别按 EXPO(2 h)、EXPO(3 h) 到达；外部价格每小时更新一次，均纳入模型</w:t>
            </w:r>
          </w:p>
        </w:tc>
      </w:tr>
      <w:tr w14:paraId="2604F169">
        <w:trPr>
          <w:jc w:val="center"/>
        </w:trPr>
        <w:tc>
          <w:tcPr>
            <w:tcW w:w="3135" w:type="dxa"/>
            <w:vAlign w:val="center"/>
          </w:tcPr>
          <w:p w14:paraId="653D1594">
            <w:pPr>
              <w:spacing w:after="0" w:line="240" w:lineRule="auto"/>
            </w:pPr>
            <w:r>
              <w:rPr>
                <w:rFonts w:ascii="宋体" w:hAnsi="宋体" w:eastAsia="宋体"/>
                <w:b w:val="0"/>
                <w:sz w:val="21"/>
              </w:rPr>
              <w:t>核心服务/加工过程</w:t>
            </w:r>
          </w:p>
        </w:tc>
        <w:tc>
          <w:tcPr>
            <w:tcW w:w="3135" w:type="dxa"/>
            <w:vAlign w:val="center"/>
          </w:tcPr>
          <w:p w14:paraId="6F754432">
            <w:pPr>
              <w:spacing w:after="0" w:line="240" w:lineRule="auto"/>
            </w:pPr>
            <w:r>
              <w:t>☑ 是   □ 否</w:t>
            </w:r>
          </w:p>
        </w:tc>
        <w:tc>
          <w:tcPr>
            <w:tcW w:w="3135" w:type="dxa"/>
            <w:vAlign w:val="center"/>
          </w:tcPr>
          <w:p w14:paraId="7F537F26">
            <w:pPr>
              <w:spacing w:after="0" w:line="240" w:lineRule="auto"/>
            </w:pPr>
            <w:r>
              <w:t>核心「加工」为按恒定乘积公式（x·y=k）定价并执行兑换、收取 0.3% 手续费回流池中、LP 增减储备，是本仿真的核心过程</w:t>
            </w:r>
          </w:p>
        </w:tc>
      </w:tr>
      <w:tr w14:paraId="545804B2">
        <w:trPr>
          <w:jc w:val="center"/>
        </w:trPr>
        <w:tc>
          <w:tcPr>
            <w:tcW w:w="3135" w:type="dxa"/>
            <w:vAlign w:val="center"/>
          </w:tcPr>
          <w:p w14:paraId="77C1FFE7">
            <w:pPr>
              <w:spacing w:after="0" w:line="240" w:lineRule="auto"/>
            </w:pPr>
            <w:r>
              <w:rPr>
                <w:rFonts w:ascii="宋体" w:hAnsi="宋体" w:eastAsia="宋体"/>
                <w:b w:val="0"/>
                <w:sz w:val="21"/>
              </w:rPr>
              <w:t>排队与等待过程</w:t>
            </w:r>
          </w:p>
        </w:tc>
        <w:tc>
          <w:tcPr>
            <w:tcW w:w="3135" w:type="dxa"/>
            <w:vAlign w:val="center"/>
          </w:tcPr>
          <w:p w14:paraId="47CCD134">
            <w:pPr>
              <w:spacing w:after="0" w:line="240" w:lineRule="auto"/>
            </w:pPr>
            <w:r>
              <w:t>□ 是   ☑ 否</w:t>
            </w:r>
          </w:p>
        </w:tc>
        <w:tc>
          <w:tcPr>
            <w:tcW w:w="3135" w:type="dxa"/>
            <w:vAlign w:val="center"/>
          </w:tcPr>
          <w:p w14:paraId="57D37D15">
            <w:pPr>
              <w:spacing w:after="0" w:line="240" w:lineRule="auto"/>
            </w:pPr>
            <w:r>
              <w:t>AMM 机制下交易即时成交，无订单簿排队与等待，故不设排队过程</w:t>
            </w:r>
          </w:p>
        </w:tc>
      </w:tr>
      <w:tr w14:paraId="2EAC547B">
        <w:trPr>
          <w:jc w:val="center"/>
        </w:trPr>
        <w:tc>
          <w:tcPr>
            <w:tcW w:w="3135" w:type="dxa"/>
            <w:vAlign w:val="center"/>
          </w:tcPr>
          <w:p w14:paraId="4787C95A">
            <w:pPr>
              <w:spacing w:after="0" w:line="240" w:lineRule="auto"/>
            </w:pPr>
            <w:r>
              <w:rPr>
                <w:rFonts w:ascii="宋体" w:hAnsi="宋体" w:eastAsia="宋体"/>
                <w:b w:val="0"/>
                <w:sz w:val="21"/>
              </w:rPr>
              <w:t>系统出口（完成/离开/放弃）</w:t>
            </w:r>
          </w:p>
        </w:tc>
        <w:tc>
          <w:tcPr>
            <w:tcW w:w="3135" w:type="dxa"/>
            <w:vAlign w:val="center"/>
          </w:tcPr>
          <w:p w14:paraId="7DDA3F9C">
            <w:pPr>
              <w:spacing w:after="0" w:line="240" w:lineRule="auto"/>
            </w:pPr>
            <w:r>
              <w:t>☑ 是   □ 否</w:t>
            </w:r>
          </w:p>
        </w:tc>
        <w:tc>
          <w:tcPr>
            <w:tcW w:w="3135" w:type="dxa"/>
            <w:vAlign w:val="center"/>
          </w:tcPr>
          <w:p w14:paraId="65ECB803">
            <w:pPr>
              <w:spacing w:after="0" w:line="240" w:lineRule="auto"/>
            </w:pPr>
            <w:r>
              <w:t>交易执行完毕（成交）即离开系统；若实际滑点超过用户容忍度则判定交易失败并放弃，作为「放弃」出口单独统计</w:t>
            </w:r>
          </w:p>
        </w:tc>
      </w:tr>
    </w:tbl>
    <w:p w14:paraId="7F9BDF63">
      <w:r>
        <w:t>系统边界说明：</w:t>
      </w:r>
    </w:p>
    <w:p w14:paraId="26D3655F">
      <w:r>
        <w:t>仿真范围为该 DEX 单一流动性池内部 168 小时的运行，入口为随机到达的交易与 LP 事件，出口为成交/放弃的交易。不纳入仿真的环节：用户在多个交易所之间的比价与套利行为、区块链 gas 费与确认延迟、外部市场价格的形成机制（仅以给定随机游走作为外生输入）、以及其他流动性池的联动。理由：案例关注的是池内参数（手续费率、池深、交易结构）对运营指标的影响，上述外部环节可视为外生环境，纳入会显著增加模型复杂度而对核心决策问题贡献有限。</w:t>
      </w:r>
    </w:p>
    <w:p w14:paraId="67B7B516"/>
    <w:p w14:paraId="18108E75"/>
    <w:p w14:paraId="4F20A676">
      <w:pPr>
        <w:pStyle w:val="3"/>
      </w:pPr>
      <w:r>
        <w:t>六、系统运行流程初步描述</w:t>
      </w:r>
    </w:p>
    <w:p w14:paraId="5531521D">
      <w:r>
        <w:t>用文字或流程框图描述实体进入系统后的主要事件顺序。例如：到达 → 判断/分流 → 排队 → 服务 → 决策/转移 → 离开。</w:t>
      </w:r>
    </w:p>
    <w:p w14:paraId="38EC65EE">
      <w:r>
        <w:t>流程图位置（可手绘、截图或插入Visio/Arena流程图）：</w:t>
      </w:r>
      <w:r>
        <w:drawing>
          <wp:inline distT="0" distB="0" distL="114300" distR="114300">
            <wp:extent cx="3959860" cy="70808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960000" cy="7081483"/>
                    </a:xfrm>
                    <a:prstGeom prst="rect">
                      <a:avLst/>
                    </a:prstGeom>
                  </pic:spPr>
                </pic:pic>
              </a:graphicData>
            </a:graphic>
          </wp:inline>
        </w:drawing>
      </w:r>
    </w:p>
    <w:p w14:paraId="63B3FBA7">
      <w:r>
        <w:t xml:space="preserve">                                                                                          </w:t>
      </w:r>
    </w:p>
    <w:p w14:paraId="47827368">
      <w:r>
        <w:t xml:space="preserve">                                                                                          </w:t>
      </w:r>
    </w:p>
    <w:p w14:paraId="6E596E83">
      <w:r>
        <w:t xml:space="preserve">                                                                                          </w:t>
      </w:r>
    </w:p>
    <w:p w14:paraId="74ABBA47">
      <w:r>
        <w:t xml:space="preserve">                                                                                          </w:t>
      </w:r>
    </w:p>
    <w:p w14:paraId="392388F3">
      <w:r>
        <w:t xml:space="preserve">                                                                                          </w:t>
      </w:r>
    </w:p>
    <w:p w14:paraId="10D59E64">
      <w:r>
        <w:t xml:space="preserve">                                                                                          </w:t>
      </w:r>
    </w:p>
    <w:p w14:paraId="3D2B84EF">
      <w:r>
        <w:t>流程说明：</w:t>
      </w:r>
    </w:p>
    <w:p w14:paraId="43905700">
      <w:r>
        <w:t>交易流：用户到达 → 判定交易类型（小/中/大额）与买卖方向 → 抽取交易规模 → 按恒定乘积公式计算成交价与滑点 → 判断滑点是否超过容忍度：未超过则执行交易（更新储备 A/B、收取 0.3% 手续费回流池中、累计交易量与手续费）→ 离开；超过则交易失败放弃 → 离开。</w:t>
      </w:r>
      <w:r>
        <w:br w:type="textWrapping"/>
      </w:r>
      <w:r>
        <w:t>LP 流：LP 事件到达 → 判定添加/移除 → 抽取规模 → 按当前储备比例添加（或按份额移除）双边代币 → 更新储备与 LP 份额记录。</w:t>
      </w:r>
      <w:r>
        <w:br w:type="textWrapping"/>
      </w:r>
      <w:r>
        <w:t>外部价格流：每小时触发一次 → 按 N(0, 2%) 抽取价格变化率 → 更新外部参照价格 → 计算并记录 LP 无常损失。</w:t>
      </w:r>
      <w:r>
        <w:br w:type="textWrapping"/>
      </w:r>
      <w:r>
        <w:t>三类事件共享并更新全局状态变量：储备 A、储备 B、池内价格、累计手续费、累计交易量、LP 无常损失。</w:t>
      </w:r>
    </w:p>
    <w:p w14:paraId="460404DD"/>
    <w:p w14:paraId="7E06B49C"/>
    <w:p w14:paraId="723C21CB">
      <w:pPr>
        <w:pStyle w:val="3"/>
      </w:pPr>
      <w:r>
        <w:t>七、核心决策问题</w:t>
      </w:r>
    </w:p>
    <w:p w14:paraId="4B7B3BFC">
      <w:r>
        <w:t>本部分是本次成果的重点。将案例材料中的一般性问题转化为可通过离散事件仿真回答的具体决策问题。建议提出3—5个核心问题。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C68F6B2">
        <w:trPr>
          <w:jc w:val="center"/>
        </w:trPr>
        <w:tc>
          <w:tcPr>
            <w:tcW w:w="2351" w:type="dxa"/>
            <w:shd w:val="clear" w:color="auto" w:fill="D9EAF7"/>
            <w:vAlign w:val="center"/>
          </w:tcPr>
          <w:p w14:paraId="00881D00">
            <w:pPr>
              <w:spacing w:after="0" w:line="240" w:lineRule="auto"/>
            </w:pPr>
            <w:r>
              <w:rPr>
                <w:rFonts w:ascii="宋体" w:hAnsi="宋体" w:eastAsia="宋体"/>
                <w:b/>
                <w:sz w:val="21"/>
              </w:rPr>
              <w:t>序号</w:t>
            </w:r>
          </w:p>
        </w:tc>
        <w:tc>
          <w:tcPr>
            <w:tcW w:w="2351" w:type="dxa"/>
            <w:shd w:val="clear" w:color="auto" w:fill="D9EAF7"/>
            <w:vAlign w:val="center"/>
          </w:tcPr>
          <w:p w14:paraId="36CB033B">
            <w:pPr>
              <w:spacing w:after="0" w:line="240" w:lineRule="auto"/>
            </w:pPr>
            <w:r>
              <w:rPr>
                <w:rFonts w:ascii="宋体" w:hAnsi="宋体" w:eastAsia="宋体"/>
                <w:b/>
                <w:sz w:val="21"/>
              </w:rPr>
              <w:t>核心决策问题</w:t>
            </w:r>
          </w:p>
        </w:tc>
        <w:tc>
          <w:tcPr>
            <w:tcW w:w="2351" w:type="dxa"/>
            <w:shd w:val="clear" w:color="auto" w:fill="D9EAF7"/>
            <w:vAlign w:val="center"/>
          </w:tcPr>
          <w:p w14:paraId="10170179">
            <w:pPr>
              <w:spacing w:after="0" w:line="240" w:lineRule="auto"/>
            </w:pPr>
            <w:r>
              <w:rPr>
                <w:rFonts w:ascii="宋体" w:hAnsi="宋体" w:eastAsia="宋体"/>
                <w:b/>
                <w:sz w:val="21"/>
              </w:rPr>
              <w:t>问题类型</w:t>
            </w:r>
          </w:p>
        </w:tc>
        <w:tc>
          <w:tcPr>
            <w:tcW w:w="2351" w:type="dxa"/>
            <w:shd w:val="clear" w:color="auto" w:fill="D9EAF7"/>
            <w:vAlign w:val="center"/>
          </w:tcPr>
          <w:p w14:paraId="20CF3615">
            <w:pPr>
              <w:spacing w:after="0" w:line="240" w:lineRule="auto"/>
            </w:pPr>
            <w:r>
              <w:rPr>
                <w:rFonts w:ascii="宋体" w:hAnsi="宋体" w:eastAsia="宋体"/>
                <w:b/>
                <w:sz w:val="21"/>
              </w:rPr>
              <w:t>对应评价指标（初步）</w:t>
            </w:r>
          </w:p>
        </w:tc>
      </w:tr>
      <w:tr w14:paraId="6708DB49">
        <w:trPr>
          <w:jc w:val="center"/>
        </w:trPr>
        <w:tc>
          <w:tcPr>
            <w:tcW w:w="2351" w:type="dxa"/>
            <w:vAlign w:val="center"/>
          </w:tcPr>
          <w:p w14:paraId="39B8C2D7">
            <w:pPr>
              <w:spacing w:after="0" w:line="240" w:lineRule="auto"/>
            </w:pPr>
            <w:r>
              <w:rPr>
                <w:rFonts w:ascii="宋体" w:hAnsi="宋体" w:eastAsia="宋体"/>
                <w:b w:val="0"/>
                <w:sz w:val="21"/>
              </w:rPr>
              <w:t>1</w:t>
            </w:r>
          </w:p>
        </w:tc>
        <w:tc>
          <w:tcPr>
            <w:tcW w:w="2351" w:type="dxa"/>
            <w:vAlign w:val="center"/>
          </w:tcPr>
          <w:p w14:paraId="06EC3BD2">
            <w:pPr>
              <w:spacing w:after="0" w:line="240" w:lineRule="auto"/>
            </w:pPr>
            <w:r>
              <w:t>基准参数下，168 小时内池的总交易量、总手续费收入分别是多少？LP 的手续费收入能否覆盖其无常损失？</w:t>
            </w:r>
          </w:p>
        </w:tc>
        <w:tc>
          <w:tcPr>
            <w:tcW w:w="2351" w:type="dxa"/>
            <w:vAlign w:val="center"/>
          </w:tcPr>
          <w:p w14:paraId="7A16A625">
            <w:pPr>
              <w:spacing w:after="0" w:line="240" w:lineRule="auto"/>
            </w:pPr>
            <w:r>
              <w:t>☑ 现状诊断  □ 资源配置  □ 运营优化  □ 方案比较</w:t>
            </w:r>
          </w:p>
        </w:tc>
        <w:tc>
          <w:tcPr>
            <w:tcW w:w="2351" w:type="dxa"/>
            <w:vAlign w:val="center"/>
          </w:tcPr>
          <w:p w14:paraId="3883B63F">
            <w:pPr>
              <w:spacing w:after="0" w:line="240" w:lineRule="auto"/>
            </w:pPr>
            <w:r>
              <w:t>总交易量（Token A）、总手续费收入、LP 净收益（手续费 − 无常损失）</w:t>
            </w:r>
          </w:p>
        </w:tc>
      </w:tr>
      <w:tr w14:paraId="75F4D53A">
        <w:trPr>
          <w:jc w:val="center"/>
        </w:trPr>
        <w:tc>
          <w:tcPr>
            <w:tcW w:w="2351" w:type="dxa"/>
            <w:vAlign w:val="center"/>
          </w:tcPr>
          <w:p w14:paraId="35DD0382">
            <w:pPr>
              <w:spacing w:after="0" w:line="240" w:lineRule="auto"/>
            </w:pPr>
            <w:r>
              <w:rPr>
                <w:rFonts w:ascii="宋体" w:hAnsi="宋体" w:eastAsia="宋体"/>
                <w:b w:val="0"/>
                <w:sz w:val="21"/>
              </w:rPr>
              <w:t>2</w:t>
            </w:r>
          </w:p>
        </w:tc>
        <w:tc>
          <w:tcPr>
            <w:tcW w:w="2351" w:type="dxa"/>
            <w:vAlign w:val="center"/>
          </w:tcPr>
          <w:p w14:paraId="2B3B4EB1">
            <w:pPr>
              <w:spacing w:after="0" w:line="240" w:lineRule="auto"/>
            </w:pPr>
            <w:r>
              <w:t>大额交易的平均滑点是多少？是否超出其 5% 的滑点容忍度？大额交易占比从 10% 提高到 20% 时滑点增加多少？</w:t>
            </w:r>
          </w:p>
        </w:tc>
        <w:tc>
          <w:tcPr>
            <w:tcW w:w="2351" w:type="dxa"/>
            <w:vAlign w:val="center"/>
          </w:tcPr>
          <w:p w14:paraId="59FB8FE5">
            <w:pPr>
              <w:spacing w:after="0" w:line="240" w:lineRule="auto"/>
            </w:pPr>
            <w:r>
              <w:t>☑ 现状诊断  □ 资源配置  □ 运营优化  ☑ 方案比较</w:t>
            </w:r>
          </w:p>
        </w:tc>
        <w:tc>
          <w:tcPr>
            <w:tcW w:w="2351" w:type="dxa"/>
            <w:vAlign w:val="center"/>
          </w:tcPr>
          <w:p w14:paraId="60F4896D">
            <w:pPr>
              <w:spacing w:after="0" w:line="240" w:lineRule="auto"/>
            </w:pPr>
            <w:r>
              <w:t>大额交易平均滑点、滑点超容忍度交易占比（失败率）</w:t>
            </w:r>
          </w:p>
        </w:tc>
      </w:tr>
      <w:tr w14:paraId="134F7D8B">
        <w:trPr>
          <w:jc w:val="center"/>
        </w:trPr>
        <w:tc>
          <w:tcPr>
            <w:tcW w:w="2351" w:type="dxa"/>
            <w:vAlign w:val="center"/>
          </w:tcPr>
          <w:p w14:paraId="665DF01A">
            <w:pPr>
              <w:spacing w:after="0" w:line="240" w:lineRule="auto"/>
            </w:pPr>
            <w:r>
              <w:rPr>
                <w:rFonts w:ascii="宋体" w:hAnsi="宋体" w:eastAsia="宋体"/>
                <w:b w:val="0"/>
                <w:sz w:val="21"/>
              </w:rPr>
              <w:t>3</w:t>
            </w:r>
          </w:p>
        </w:tc>
        <w:tc>
          <w:tcPr>
            <w:tcW w:w="2351" w:type="dxa"/>
            <w:vAlign w:val="center"/>
          </w:tcPr>
          <w:p w14:paraId="38A04B3E">
            <w:pPr>
              <w:spacing w:after="0" w:line="240" w:lineRule="auto"/>
            </w:pPr>
            <w:r>
              <w:t>手续费率从 0.3% 提高到 0.5%，对交易量与 LP 收入有何影响？哪个费率下 LP 净收益更优？</w:t>
            </w:r>
          </w:p>
        </w:tc>
        <w:tc>
          <w:tcPr>
            <w:tcW w:w="2351" w:type="dxa"/>
            <w:vAlign w:val="center"/>
          </w:tcPr>
          <w:p w14:paraId="5657C7BA">
            <w:pPr>
              <w:spacing w:after="0" w:line="240" w:lineRule="auto"/>
            </w:pPr>
            <w:r>
              <w:t>□ 现状诊断  □ 资源配置  ☑ 运营优化  ☑ 方案比较</w:t>
            </w:r>
          </w:p>
        </w:tc>
        <w:tc>
          <w:tcPr>
            <w:tcW w:w="2351" w:type="dxa"/>
            <w:vAlign w:val="center"/>
          </w:tcPr>
          <w:p w14:paraId="47BF43E5">
            <w:pPr>
              <w:spacing w:after="0" w:line="240" w:lineRule="auto"/>
            </w:pPr>
            <w:r>
              <w:t>总交易量、总手续费收入、LP 净收益</w:t>
            </w:r>
          </w:p>
        </w:tc>
      </w:tr>
      <w:tr w14:paraId="65708EA1">
        <w:trPr>
          <w:jc w:val="center"/>
        </w:trPr>
        <w:tc>
          <w:tcPr>
            <w:tcW w:w="2351" w:type="dxa"/>
            <w:vAlign w:val="center"/>
          </w:tcPr>
          <w:p w14:paraId="10B9970D">
            <w:pPr>
              <w:spacing w:after="0" w:line="240" w:lineRule="auto"/>
            </w:pPr>
            <w:r>
              <w:rPr>
                <w:rFonts w:ascii="宋体" w:hAnsi="宋体" w:eastAsia="宋体"/>
                <w:b w:val="0"/>
                <w:sz w:val="21"/>
              </w:rPr>
              <w:t>4</w:t>
            </w:r>
          </w:p>
        </w:tc>
        <w:tc>
          <w:tcPr>
            <w:tcW w:w="2351" w:type="dxa"/>
            <w:vAlign w:val="center"/>
          </w:tcPr>
          <w:p w14:paraId="0BC6F3A9">
            <w:pPr>
              <w:spacing w:after="0" w:line="240" w:lineRule="auto"/>
            </w:pPr>
            <w:r>
              <w:t>外部价格波动加剧（小时变化率标准差从 2% 增至 5%）时，LP 无常损失与净收益如何变化？</w:t>
            </w:r>
          </w:p>
        </w:tc>
        <w:tc>
          <w:tcPr>
            <w:tcW w:w="2351" w:type="dxa"/>
            <w:vAlign w:val="center"/>
          </w:tcPr>
          <w:p w14:paraId="76D3C3FF">
            <w:pPr>
              <w:spacing w:after="0" w:line="240" w:lineRule="auto"/>
            </w:pPr>
            <w:r>
              <w:t>☑ 现状诊断  □ 资源配置  □ 运营优化  ☑ 方案比较</w:t>
            </w:r>
          </w:p>
        </w:tc>
        <w:tc>
          <w:tcPr>
            <w:tcW w:w="2351" w:type="dxa"/>
            <w:vAlign w:val="center"/>
          </w:tcPr>
          <w:p w14:paraId="145F7E29">
            <w:pPr>
              <w:spacing w:after="0" w:line="240" w:lineRule="auto"/>
            </w:pPr>
            <w:r>
              <w:t>LP 无常损失、LP 净收益、储备量与池内价格的波动幅度</w:t>
            </w:r>
          </w:p>
        </w:tc>
      </w:tr>
      <w:tr w14:paraId="40299BAA">
        <w:trPr>
          <w:jc w:val="center"/>
        </w:trPr>
        <w:tc>
          <w:tcPr>
            <w:tcW w:w="2351" w:type="dxa"/>
            <w:vAlign w:val="center"/>
          </w:tcPr>
          <w:p w14:paraId="2328609A">
            <w:pPr>
              <w:spacing w:after="0" w:line="240" w:lineRule="auto"/>
            </w:pPr>
            <w:r>
              <w:rPr>
                <w:rFonts w:ascii="宋体" w:hAnsi="宋体" w:eastAsia="宋体"/>
                <w:b w:val="0"/>
                <w:sz w:val="21"/>
              </w:rPr>
              <w:t>5</w:t>
            </w:r>
          </w:p>
        </w:tc>
        <w:tc>
          <w:tcPr>
            <w:tcW w:w="2351" w:type="dxa"/>
            <w:vAlign w:val="center"/>
          </w:tcPr>
          <w:p w14:paraId="4A910CF2">
            <w:pPr>
              <w:spacing w:after="0" w:line="240" w:lineRule="auto"/>
            </w:pPr>
            <w:r>
              <w:t>在波动加剧或大额交易占比上升的情景下，提高手续费率能否稳定 LP 净收益？最优费率组合是什么？</w:t>
            </w:r>
          </w:p>
        </w:tc>
        <w:tc>
          <w:tcPr>
            <w:tcW w:w="2351" w:type="dxa"/>
            <w:vAlign w:val="center"/>
          </w:tcPr>
          <w:p w14:paraId="656327AD">
            <w:pPr>
              <w:spacing w:after="0" w:line="240" w:lineRule="auto"/>
            </w:pPr>
            <w:r>
              <w:t>□ 现状诊断  □ 资源配置  ☑ 运营优化  ☑ 方案比较</w:t>
            </w:r>
          </w:p>
        </w:tc>
        <w:tc>
          <w:tcPr>
            <w:tcW w:w="2351" w:type="dxa"/>
            <w:vAlign w:val="center"/>
          </w:tcPr>
          <w:p w14:paraId="67EAFE98">
            <w:pPr>
              <w:spacing w:after="0" w:line="240" w:lineRule="auto"/>
            </w:pPr>
            <w:r>
              <w:t>LP 净收益的均值与方差、交易失败率</w:t>
            </w:r>
          </w:p>
        </w:tc>
      </w:tr>
    </w:tbl>
    <w:p w14:paraId="4159CA23">
      <w:r>
        <w:t>要求：问题必须能够通过后续仿真实验进行回答，避免仅提出“如何提高效率”“如何优化”等过于笼统的问题。</w:t>
      </w:r>
    </w:p>
    <w:p w14:paraId="3B850F37">
      <w:pPr>
        <w:pStyle w:val="3"/>
      </w:pPr>
      <w:r>
        <w:t>八、初步决策变量与方案设计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1A4D9A5C">
        <w:trPr>
          <w:jc w:val="center"/>
        </w:trPr>
        <w:tc>
          <w:tcPr>
            <w:tcW w:w="2351" w:type="dxa"/>
            <w:shd w:val="clear" w:color="auto" w:fill="D9EAF7"/>
            <w:vAlign w:val="center"/>
          </w:tcPr>
          <w:p w14:paraId="2EEB7629">
            <w:pPr>
              <w:spacing w:after="0" w:line="240" w:lineRule="auto"/>
            </w:pPr>
            <w:r>
              <w:rPr>
                <w:rFonts w:ascii="宋体" w:hAnsi="宋体" w:eastAsia="宋体"/>
                <w:b/>
                <w:sz w:val="21"/>
              </w:rPr>
              <w:t>序号</w:t>
            </w:r>
          </w:p>
        </w:tc>
        <w:tc>
          <w:tcPr>
            <w:tcW w:w="2351" w:type="dxa"/>
            <w:shd w:val="clear" w:color="auto" w:fill="D9EAF7"/>
            <w:vAlign w:val="center"/>
          </w:tcPr>
          <w:p w14:paraId="55FD6C15">
            <w:pPr>
              <w:spacing w:after="0" w:line="240" w:lineRule="auto"/>
            </w:pPr>
            <w:r>
              <w:rPr>
                <w:rFonts w:ascii="宋体" w:hAnsi="宋体" w:eastAsia="宋体"/>
                <w:b/>
                <w:sz w:val="21"/>
              </w:rPr>
              <w:t>拟调整因素/决策变量</w:t>
            </w:r>
          </w:p>
        </w:tc>
        <w:tc>
          <w:tcPr>
            <w:tcW w:w="2351" w:type="dxa"/>
            <w:shd w:val="clear" w:color="auto" w:fill="D9EAF7"/>
            <w:vAlign w:val="center"/>
          </w:tcPr>
          <w:p w14:paraId="5B3A7CB7">
            <w:pPr>
              <w:spacing w:after="0" w:line="240" w:lineRule="auto"/>
            </w:pPr>
            <w:r>
              <w:rPr>
                <w:rFonts w:ascii="宋体" w:hAnsi="宋体" w:eastAsia="宋体"/>
                <w:b/>
                <w:sz w:val="21"/>
              </w:rPr>
              <w:t>基准方案</w:t>
            </w:r>
          </w:p>
        </w:tc>
        <w:tc>
          <w:tcPr>
            <w:tcW w:w="2351" w:type="dxa"/>
            <w:shd w:val="clear" w:color="auto" w:fill="D9EAF7"/>
            <w:vAlign w:val="center"/>
          </w:tcPr>
          <w:p w14:paraId="7D86F22F">
            <w:pPr>
              <w:spacing w:after="0" w:line="240" w:lineRule="auto"/>
            </w:pPr>
            <w:r>
              <w:rPr>
                <w:rFonts w:ascii="宋体" w:hAnsi="宋体" w:eastAsia="宋体"/>
                <w:b/>
                <w:sz w:val="21"/>
              </w:rPr>
              <w:t>备选方案（初步）</w:t>
            </w:r>
          </w:p>
        </w:tc>
      </w:tr>
      <w:tr w14:paraId="349D3AE6">
        <w:trPr>
          <w:jc w:val="center"/>
        </w:trPr>
        <w:tc>
          <w:tcPr>
            <w:tcW w:w="2351" w:type="dxa"/>
            <w:vAlign w:val="center"/>
          </w:tcPr>
          <w:p w14:paraId="7655D228">
            <w:pPr>
              <w:spacing w:after="0" w:line="240" w:lineRule="auto"/>
            </w:pPr>
            <w:r>
              <w:rPr>
                <w:rFonts w:ascii="宋体" w:hAnsi="宋体" w:eastAsia="宋体"/>
                <w:b w:val="0"/>
                <w:sz w:val="21"/>
              </w:rPr>
              <w:t>1</w:t>
            </w:r>
          </w:p>
        </w:tc>
        <w:tc>
          <w:tcPr>
            <w:tcW w:w="2351" w:type="dxa"/>
            <w:vAlign w:val="center"/>
          </w:tcPr>
          <w:p w14:paraId="5C966C0C">
            <w:pPr>
              <w:spacing w:after="0" w:line="240" w:lineRule="auto"/>
            </w:pPr>
            <w:r>
              <w:t>交易手续费率</w:t>
            </w:r>
          </w:p>
        </w:tc>
        <w:tc>
          <w:tcPr>
            <w:tcW w:w="2351" w:type="dxa"/>
            <w:vAlign w:val="center"/>
          </w:tcPr>
          <w:p w14:paraId="1259F769">
            <w:pPr>
              <w:spacing w:after="0" w:line="240" w:lineRule="auto"/>
            </w:pPr>
            <w:r>
              <w:t>0.3%</w:t>
            </w:r>
          </w:p>
        </w:tc>
        <w:tc>
          <w:tcPr>
            <w:tcW w:w="2351" w:type="dxa"/>
            <w:vAlign w:val="center"/>
          </w:tcPr>
          <w:p w14:paraId="02D4591D">
            <w:pPr>
              <w:spacing w:after="0" w:line="240" w:lineRule="auto"/>
            </w:pPr>
            <w:r>
              <w:t>0.5%（对比两档费率对交易量与 LP 净收益的影响）</w:t>
            </w:r>
          </w:p>
        </w:tc>
      </w:tr>
      <w:tr w14:paraId="7A53A1A7">
        <w:trPr>
          <w:jc w:val="center"/>
        </w:trPr>
        <w:tc>
          <w:tcPr>
            <w:tcW w:w="2351" w:type="dxa"/>
            <w:vAlign w:val="center"/>
          </w:tcPr>
          <w:p w14:paraId="12ABDCB9">
            <w:pPr>
              <w:spacing w:after="0" w:line="240" w:lineRule="auto"/>
            </w:pPr>
            <w:r>
              <w:rPr>
                <w:rFonts w:ascii="宋体" w:hAnsi="宋体" w:eastAsia="宋体"/>
                <w:b w:val="0"/>
                <w:sz w:val="21"/>
              </w:rPr>
              <w:t>2</w:t>
            </w:r>
          </w:p>
        </w:tc>
        <w:tc>
          <w:tcPr>
            <w:tcW w:w="2351" w:type="dxa"/>
            <w:vAlign w:val="center"/>
          </w:tcPr>
          <w:p w14:paraId="6191D401">
            <w:pPr>
              <w:spacing w:after="0" w:line="240" w:lineRule="auto"/>
            </w:pPr>
            <w:r>
              <w:t>外部价格波动率（小时变化率标准差）</w:t>
            </w:r>
          </w:p>
        </w:tc>
        <w:tc>
          <w:tcPr>
            <w:tcW w:w="2351" w:type="dxa"/>
            <w:vAlign w:val="center"/>
          </w:tcPr>
          <w:p w14:paraId="29A4CEF4">
            <w:pPr>
              <w:spacing w:after="0" w:line="240" w:lineRule="auto"/>
            </w:pPr>
            <w:r>
              <w:t>2%</w:t>
            </w:r>
          </w:p>
        </w:tc>
        <w:tc>
          <w:tcPr>
            <w:tcW w:w="2351" w:type="dxa"/>
            <w:vAlign w:val="center"/>
          </w:tcPr>
          <w:p w14:paraId="7297CBD6">
            <w:pPr>
              <w:spacing w:after="0" w:line="240" w:lineRule="auto"/>
            </w:pPr>
            <w:r>
              <w:t>5%（模拟市场剧烈波动情景）</w:t>
            </w:r>
          </w:p>
        </w:tc>
      </w:tr>
      <w:tr w14:paraId="1425AC2D">
        <w:trPr>
          <w:jc w:val="center"/>
        </w:trPr>
        <w:tc>
          <w:tcPr>
            <w:tcW w:w="2351" w:type="dxa"/>
            <w:vAlign w:val="center"/>
          </w:tcPr>
          <w:p w14:paraId="0D11351B">
            <w:pPr>
              <w:spacing w:after="0" w:line="240" w:lineRule="auto"/>
            </w:pPr>
            <w:r>
              <w:rPr>
                <w:rFonts w:ascii="宋体" w:hAnsi="宋体" w:eastAsia="宋体"/>
                <w:b w:val="0"/>
                <w:sz w:val="21"/>
              </w:rPr>
              <w:t>3</w:t>
            </w:r>
          </w:p>
        </w:tc>
        <w:tc>
          <w:tcPr>
            <w:tcW w:w="2351" w:type="dxa"/>
            <w:vAlign w:val="center"/>
          </w:tcPr>
          <w:p w14:paraId="05D4349A">
            <w:pPr>
              <w:spacing w:after="0" w:line="240" w:lineRule="auto"/>
            </w:pPr>
            <w:r>
              <w:t>大额交易占比</w:t>
            </w:r>
          </w:p>
        </w:tc>
        <w:tc>
          <w:tcPr>
            <w:tcW w:w="2351" w:type="dxa"/>
            <w:vAlign w:val="center"/>
          </w:tcPr>
          <w:p w14:paraId="02212E04">
            <w:pPr>
              <w:spacing w:after="0" w:line="240" w:lineRule="auto"/>
            </w:pPr>
            <w:r>
              <w:t>10%（小60%/中30%/大10%）</w:t>
            </w:r>
          </w:p>
        </w:tc>
        <w:tc>
          <w:tcPr>
            <w:tcW w:w="2351" w:type="dxa"/>
            <w:vAlign w:val="center"/>
          </w:tcPr>
          <w:p w14:paraId="215D2B5A">
            <w:pPr>
              <w:spacing w:after="0" w:line="240" w:lineRule="auto"/>
            </w:pPr>
            <w:r>
              <w:t>20%（相应调低小/中额占比）</w:t>
            </w:r>
          </w:p>
        </w:tc>
      </w:tr>
      <w:tr w14:paraId="6CF10C24">
        <w:trPr>
          <w:jc w:val="center"/>
        </w:trPr>
        <w:tc>
          <w:tcPr>
            <w:tcW w:w="2351" w:type="dxa"/>
            <w:vAlign w:val="center"/>
          </w:tcPr>
          <w:p w14:paraId="545C9FDC">
            <w:pPr>
              <w:spacing w:after="0" w:line="240" w:lineRule="auto"/>
            </w:pPr>
            <w:r>
              <w:rPr>
                <w:rFonts w:ascii="宋体" w:hAnsi="宋体" w:eastAsia="宋体"/>
                <w:b w:val="0"/>
                <w:sz w:val="21"/>
              </w:rPr>
              <w:t>4</w:t>
            </w:r>
          </w:p>
        </w:tc>
        <w:tc>
          <w:tcPr>
            <w:tcW w:w="2351" w:type="dxa"/>
            <w:vAlign w:val="center"/>
          </w:tcPr>
          <w:p w14:paraId="234FC2E0">
            <w:pPr>
              <w:spacing w:after="0" w:line="240" w:lineRule="auto"/>
            </w:pPr>
            <w:r>
              <w:t>流动性深度（LP 添加/移除规模）</w:t>
            </w:r>
          </w:p>
        </w:tc>
        <w:tc>
          <w:tcPr>
            <w:tcW w:w="2351" w:type="dxa"/>
            <w:vAlign w:val="center"/>
          </w:tcPr>
          <w:p w14:paraId="14EC4E35">
            <w:pPr>
              <w:spacing w:after="0" w:line="240" w:lineRule="auto"/>
            </w:pPr>
            <w:r>
              <w:t>添加 1万–10万 A，移除 1万–5万 A</w:t>
            </w:r>
          </w:p>
        </w:tc>
        <w:tc>
          <w:tcPr>
            <w:tcW w:w="2351" w:type="dxa"/>
            <w:vAlign w:val="center"/>
          </w:tcPr>
          <w:p w14:paraId="19A55685">
            <w:pPr>
              <w:spacing w:after="0" w:line="240" w:lineRule="auto"/>
            </w:pPr>
            <w:r>
              <w:t>提高添加规模区间（考察池深对滑点的抑制作用）</w:t>
            </w:r>
          </w:p>
        </w:tc>
      </w:tr>
      <w:tr w14:paraId="4A2C4F30">
        <w:trPr>
          <w:jc w:val="center"/>
        </w:trPr>
        <w:tc>
          <w:tcPr>
            <w:tcW w:w="2351" w:type="dxa"/>
            <w:vAlign w:val="center"/>
          </w:tcPr>
          <w:p w14:paraId="34D3CEDB">
            <w:pPr>
              <w:spacing w:after="0" w:line="240" w:lineRule="auto"/>
            </w:pPr>
            <w:r>
              <w:rPr>
                <w:rFonts w:ascii="宋体" w:hAnsi="宋体" w:eastAsia="宋体"/>
                <w:b w:val="0"/>
                <w:sz w:val="21"/>
              </w:rPr>
              <w:t>5</w:t>
            </w:r>
          </w:p>
        </w:tc>
        <w:tc>
          <w:tcPr>
            <w:tcW w:w="2351" w:type="dxa"/>
            <w:vAlign w:val="center"/>
          </w:tcPr>
          <w:p w14:paraId="7447F5E8">
            <w:pPr>
              <w:spacing w:after="0" w:line="240" w:lineRule="auto"/>
            </w:pPr>
            <w:r>
              <w:t>（备选）滑点保护/大额交易拆单规则</w:t>
            </w:r>
          </w:p>
        </w:tc>
        <w:tc>
          <w:tcPr>
            <w:tcW w:w="2351" w:type="dxa"/>
            <w:vAlign w:val="center"/>
          </w:tcPr>
          <w:p w14:paraId="74E311FB">
            <w:pPr>
              <w:spacing w:after="0" w:line="240" w:lineRule="auto"/>
            </w:pPr>
            <w:r>
              <w:t>不干预</w:t>
            </w:r>
          </w:p>
        </w:tc>
        <w:tc>
          <w:tcPr>
            <w:tcW w:w="2351" w:type="dxa"/>
            <w:vAlign w:val="center"/>
          </w:tcPr>
          <w:p w14:paraId="0C3BFEE7">
            <w:pPr>
              <w:spacing w:after="0" w:line="240" w:lineRule="auto"/>
            </w:pPr>
            <w:r>
              <w:t>超过容忍度的交易拆分执行（视后续建模可行性再定）</w:t>
            </w:r>
          </w:p>
        </w:tc>
      </w:tr>
    </w:tbl>
    <w:p w14:paraId="090EA612">
      <w:r>
        <w:t>例如：资源数量、服务能力、优先规则、容量、阈值、调度规则、到达需求变化等。具体方案可在后续课程根据数据和模型进一步调整。</w:t>
      </w:r>
    </w:p>
    <w:p w14:paraId="1999FF56">
      <w:pPr>
        <w:pStyle w:val="3"/>
      </w:pPr>
      <w:r>
        <w:t>九、初步评价指标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4832CD57">
        <w:trPr>
          <w:jc w:val="center"/>
        </w:trPr>
        <w:tc>
          <w:tcPr>
            <w:tcW w:w="2351" w:type="dxa"/>
            <w:shd w:val="clear" w:color="auto" w:fill="D9EAF7"/>
            <w:vAlign w:val="center"/>
          </w:tcPr>
          <w:p w14:paraId="27F50DC7">
            <w:pPr>
              <w:spacing w:after="0" w:line="240" w:lineRule="auto"/>
            </w:pPr>
            <w:r>
              <w:rPr>
                <w:rFonts w:ascii="宋体" w:hAnsi="宋体" w:eastAsia="宋体"/>
                <w:b/>
                <w:sz w:val="21"/>
              </w:rPr>
              <w:t>指标类别</w:t>
            </w:r>
          </w:p>
        </w:tc>
        <w:tc>
          <w:tcPr>
            <w:tcW w:w="2351" w:type="dxa"/>
            <w:shd w:val="clear" w:color="auto" w:fill="D9EAF7"/>
            <w:vAlign w:val="center"/>
          </w:tcPr>
          <w:p w14:paraId="34CE71D2">
            <w:pPr>
              <w:spacing w:after="0" w:line="240" w:lineRule="auto"/>
            </w:pPr>
            <w:r>
              <w:rPr>
                <w:rFonts w:ascii="宋体" w:hAnsi="宋体" w:eastAsia="宋体"/>
                <w:b/>
                <w:sz w:val="21"/>
              </w:rPr>
              <w:t>拟采用指标</w:t>
            </w:r>
          </w:p>
        </w:tc>
        <w:tc>
          <w:tcPr>
            <w:tcW w:w="2351" w:type="dxa"/>
            <w:shd w:val="clear" w:color="auto" w:fill="D9EAF7"/>
            <w:vAlign w:val="center"/>
          </w:tcPr>
          <w:p w14:paraId="6027D01F">
            <w:pPr>
              <w:spacing w:after="0" w:line="240" w:lineRule="auto"/>
            </w:pPr>
            <w:r>
              <w:rPr>
                <w:rFonts w:ascii="宋体" w:hAnsi="宋体" w:eastAsia="宋体"/>
                <w:b/>
                <w:sz w:val="21"/>
              </w:rPr>
              <w:t>单位</w:t>
            </w:r>
          </w:p>
        </w:tc>
        <w:tc>
          <w:tcPr>
            <w:tcW w:w="2351" w:type="dxa"/>
            <w:shd w:val="clear" w:color="auto" w:fill="D9EAF7"/>
            <w:vAlign w:val="center"/>
          </w:tcPr>
          <w:p w14:paraId="2A5BE517">
            <w:pPr>
              <w:spacing w:after="0" w:line="240" w:lineRule="auto"/>
            </w:pPr>
            <w:r>
              <w:rPr>
                <w:rFonts w:ascii="宋体" w:hAnsi="宋体" w:eastAsia="宋体"/>
                <w:b/>
                <w:sz w:val="21"/>
              </w:rPr>
              <w:t>指标意义</w:t>
            </w:r>
          </w:p>
        </w:tc>
      </w:tr>
      <w:tr w14:paraId="1BD2726B">
        <w:trPr>
          <w:jc w:val="center"/>
        </w:trPr>
        <w:tc>
          <w:tcPr>
            <w:tcW w:w="2351" w:type="dxa"/>
            <w:vAlign w:val="center"/>
          </w:tcPr>
          <w:p w14:paraId="3790D347">
            <w:pPr>
              <w:spacing w:after="0" w:line="240" w:lineRule="auto"/>
            </w:pPr>
            <w:r>
              <w:rPr>
                <w:rFonts w:ascii="宋体" w:hAnsi="宋体" w:eastAsia="宋体"/>
                <w:b w:val="0"/>
                <w:sz w:val="21"/>
              </w:rPr>
              <w:t>系统产出/吞吐量</w:t>
            </w:r>
          </w:p>
        </w:tc>
        <w:tc>
          <w:tcPr>
            <w:tcW w:w="2351" w:type="dxa"/>
            <w:vAlign w:val="center"/>
          </w:tcPr>
          <w:p w14:paraId="0B3DA26D">
            <w:pPr>
              <w:spacing w:after="0" w:line="240" w:lineRule="auto"/>
            </w:pPr>
            <w:r>
              <w:t>总交易量（成交部分）、总手续费收入</w:t>
            </w:r>
          </w:p>
        </w:tc>
        <w:tc>
          <w:tcPr>
            <w:tcW w:w="2351" w:type="dxa"/>
            <w:vAlign w:val="center"/>
          </w:tcPr>
          <w:p w14:paraId="18339E7C">
            <w:pPr>
              <w:spacing w:after="0" w:line="240" w:lineRule="auto"/>
            </w:pPr>
            <w:r>
              <w:t>枚 Token A</w:t>
            </w:r>
          </w:p>
        </w:tc>
        <w:tc>
          <w:tcPr>
            <w:tcW w:w="2351" w:type="dxa"/>
            <w:vAlign w:val="center"/>
          </w:tcPr>
          <w:p w14:paraId="4B691679">
            <w:pPr>
              <w:spacing w:after="0" w:line="240" w:lineRule="auto"/>
            </w:pPr>
            <w:r>
              <w:t>衡量池子的运营规模与盈利能力，回答决策问题 1、3</w:t>
            </w:r>
          </w:p>
        </w:tc>
      </w:tr>
      <w:tr w14:paraId="4D1008CE">
        <w:trPr>
          <w:jc w:val="center"/>
        </w:trPr>
        <w:tc>
          <w:tcPr>
            <w:tcW w:w="2351" w:type="dxa"/>
            <w:vAlign w:val="center"/>
          </w:tcPr>
          <w:p w14:paraId="56253530">
            <w:pPr>
              <w:spacing w:after="0" w:line="240" w:lineRule="auto"/>
            </w:pPr>
            <w:r>
              <w:rPr>
                <w:rFonts w:ascii="宋体" w:hAnsi="宋体" w:eastAsia="宋体"/>
                <w:b w:val="0"/>
                <w:sz w:val="21"/>
              </w:rPr>
              <w:t>等待与排队</w:t>
            </w:r>
          </w:p>
        </w:tc>
        <w:tc>
          <w:tcPr>
            <w:tcW w:w="2351" w:type="dxa"/>
            <w:vAlign w:val="center"/>
          </w:tcPr>
          <w:p w14:paraId="226B7DE1">
            <w:pPr>
              <w:spacing w:after="0" w:line="240" w:lineRule="auto"/>
            </w:pPr>
            <w:r>
              <w:t>交易到达至成交的处理时间（验证用）</w:t>
            </w:r>
          </w:p>
        </w:tc>
        <w:tc>
          <w:tcPr>
            <w:tcW w:w="2351" w:type="dxa"/>
            <w:vAlign w:val="center"/>
          </w:tcPr>
          <w:p w14:paraId="197CB1D0">
            <w:pPr>
              <w:spacing w:after="0" w:line="240" w:lineRule="auto"/>
            </w:pPr>
            <w:r>
              <w:t>分钟</w:t>
            </w:r>
          </w:p>
        </w:tc>
        <w:tc>
          <w:tcPr>
            <w:tcW w:w="2351" w:type="dxa"/>
            <w:vAlign w:val="center"/>
          </w:tcPr>
          <w:p w14:paraId="7A58EADA">
            <w:pPr>
              <w:spacing w:after="0" w:line="240" w:lineRule="auto"/>
            </w:pPr>
            <w:r>
              <w:t>AMM 即时成交，用于验证模型逻辑（应近似为 0，无排队）</w:t>
            </w:r>
          </w:p>
        </w:tc>
      </w:tr>
      <w:tr w14:paraId="6CF13126">
        <w:trPr>
          <w:jc w:val="center"/>
        </w:trPr>
        <w:tc>
          <w:tcPr>
            <w:tcW w:w="2351" w:type="dxa"/>
            <w:vAlign w:val="center"/>
          </w:tcPr>
          <w:p w14:paraId="7A8498B8">
            <w:pPr>
              <w:spacing w:after="0" w:line="240" w:lineRule="auto"/>
            </w:pPr>
            <w:r>
              <w:rPr>
                <w:rFonts w:ascii="宋体" w:hAnsi="宋体" w:eastAsia="宋体"/>
                <w:b w:val="0"/>
                <w:sz w:val="21"/>
              </w:rPr>
              <w:t>资源利用率</w:t>
            </w:r>
          </w:p>
        </w:tc>
        <w:tc>
          <w:tcPr>
            <w:tcW w:w="2351" w:type="dxa"/>
            <w:vAlign w:val="center"/>
          </w:tcPr>
          <w:p w14:paraId="24B3C0F9">
            <w:pPr>
              <w:spacing w:after="0" w:line="240" w:lineRule="auto"/>
            </w:pPr>
            <w:r>
              <w:t>流动性池「利用率」：交易量 / 平均池深</w:t>
            </w:r>
          </w:p>
        </w:tc>
        <w:tc>
          <w:tcPr>
            <w:tcW w:w="2351" w:type="dxa"/>
            <w:vAlign w:val="center"/>
          </w:tcPr>
          <w:p w14:paraId="1BA7CD71">
            <w:pPr>
              <w:spacing w:after="0" w:line="240" w:lineRule="auto"/>
            </w:pPr>
            <w:r>
              <w:t>%</w:t>
            </w:r>
          </w:p>
        </w:tc>
        <w:tc>
          <w:tcPr>
            <w:tcW w:w="2351" w:type="dxa"/>
            <w:vAlign w:val="center"/>
          </w:tcPr>
          <w:p w14:paraId="7B0B2BA8">
            <w:pPr>
              <w:spacing w:after="0" w:line="240" w:lineRule="auto"/>
            </w:pPr>
            <w:r>
              <w:t>衡量单位流动性支撑的交易规模，反映资本效率</w:t>
            </w:r>
          </w:p>
        </w:tc>
      </w:tr>
      <w:tr w14:paraId="1142F96E">
        <w:trPr>
          <w:jc w:val="center"/>
        </w:trPr>
        <w:tc>
          <w:tcPr>
            <w:tcW w:w="2351" w:type="dxa"/>
            <w:vAlign w:val="center"/>
          </w:tcPr>
          <w:p w14:paraId="2891BB2D">
            <w:pPr>
              <w:spacing w:after="0" w:line="240" w:lineRule="auto"/>
            </w:pPr>
            <w:r>
              <w:rPr>
                <w:rFonts w:ascii="宋体" w:hAnsi="宋体" w:eastAsia="宋体"/>
                <w:b w:val="0"/>
                <w:sz w:val="21"/>
              </w:rPr>
              <w:t>服务质量</w:t>
            </w:r>
          </w:p>
        </w:tc>
        <w:tc>
          <w:tcPr>
            <w:tcW w:w="2351" w:type="dxa"/>
            <w:vAlign w:val="center"/>
          </w:tcPr>
          <w:p w14:paraId="0BD0B5CA">
            <w:pPr>
              <w:spacing w:after="0" w:line="240" w:lineRule="auto"/>
            </w:pPr>
            <w:r>
              <w:t>各档交易平均滑点；滑点超容忍度的失败交易占比</w:t>
            </w:r>
          </w:p>
        </w:tc>
        <w:tc>
          <w:tcPr>
            <w:tcW w:w="2351" w:type="dxa"/>
            <w:vAlign w:val="center"/>
          </w:tcPr>
          <w:p w14:paraId="530063B0">
            <w:pPr>
              <w:spacing w:after="0" w:line="240" w:lineRule="auto"/>
            </w:pPr>
            <w:r>
              <w:t>%</w:t>
            </w:r>
          </w:p>
        </w:tc>
        <w:tc>
          <w:tcPr>
            <w:tcW w:w="2351" w:type="dxa"/>
            <w:vAlign w:val="center"/>
          </w:tcPr>
          <w:p w14:paraId="5F07A0DB">
            <w:pPr>
              <w:spacing w:after="0" w:line="240" w:lineRule="auto"/>
            </w:pPr>
            <w:r>
              <w:t>衡量用户交易体验，回答决策问题 2</w:t>
            </w:r>
          </w:p>
        </w:tc>
      </w:tr>
      <w:tr w14:paraId="02726899">
        <w:trPr>
          <w:jc w:val="center"/>
        </w:trPr>
        <w:tc>
          <w:tcPr>
            <w:tcW w:w="2351" w:type="dxa"/>
            <w:vAlign w:val="center"/>
          </w:tcPr>
          <w:p w14:paraId="785D6A6C">
            <w:pPr>
              <w:spacing w:after="0" w:line="240" w:lineRule="auto"/>
            </w:pPr>
            <w:r>
              <w:rPr>
                <w:rFonts w:ascii="宋体" w:hAnsi="宋体" w:eastAsia="宋体"/>
                <w:b w:val="0"/>
                <w:sz w:val="21"/>
              </w:rPr>
              <w:t>损失/流失</w:t>
            </w:r>
          </w:p>
        </w:tc>
        <w:tc>
          <w:tcPr>
            <w:tcW w:w="2351" w:type="dxa"/>
            <w:vAlign w:val="center"/>
          </w:tcPr>
          <w:p w14:paraId="510BEA31">
            <w:pPr>
              <w:spacing w:after="0" w:line="240" w:lineRule="auto"/>
            </w:pPr>
            <w:r>
              <w:t>LP 无常损失、LP 净收益（手续费−无常损失）</w:t>
            </w:r>
          </w:p>
        </w:tc>
        <w:tc>
          <w:tcPr>
            <w:tcW w:w="2351" w:type="dxa"/>
            <w:vAlign w:val="center"/>
          </w:tcPr>
          <w:p w14:paraId="3C41BD33">
            <w:pPr>
              <w:spacing w:after="0" w:line="240" w:lineRule="auto"/>
            </w:pPr>
            <w:r>
              <w:t>枚 Token B（计价）</w:t>
            </w:r>
          </w:p>
        </w:tc>
        <w:tc>
          <w:tcPr>
            <w:tcW w:w="2351" w:type="dxa"/>
            <w:vAlign w:val="center"/>
          </w:tcPr>
          <w:p w14:paraId="4F83501C">
            <w:pPr>
              <w:spacing w:after="0" w:line="240" w:lineRule="auto"/>
            </w:pPr>
            <w:r>
              <w:t>衡量 LP 承担的损失与最终收益，回答决策问题 1、4</w:t>
            </w:r>
          </w:p>
        </w:tc>
      </w:tr>
      <w:tr w14:paraId="1C68ADC0">
        <w:trPr>
          <w:jc w:val="center"/>
        </w:trPr>
        <w:tc>
          <w:tcPr>
            <w:tcW w:w="2351" w:type="dxa"/>
            <w:vAlign w:val="center"/>
          </w:tcPr>
          <w:p w14:paraId="64D06759">
            <w:pPr>
              <w:spacing w:after="0" w:line="240" w:lineRule="auto"/>
            </w:pPr>
            <w:r>
              <w:rPr>
                <w:rFonts w:ascii="宋体" w:hAnsi="宋体" w:eastAsia="宋体"/>
                <w:b w:val="0"/>
                <w:sz w:val="21"/>
              </w:rPr>
              <w:t>其他</w:t>
            </w:r>
          </w:p>
        </w:tc>
        <w:tc>
          <w:tcPr>
            <w:tcW w:w="2351" w:type="dxa"/>
            <w:vAlign w:val="center"/>
          </w:tcPr>
          <w:p w14:paraId="2080D332">
            <w:pPr>
              <w:spacing w:after="0" w:line="240" w:lineRule="auto"/>
            </w:pPr>
            <w:r>
              <w:t>期末储备 A/B、池内价格及时间序列、LP 净收益的方差</w:t>
            </w:r>
          </w:p>
        </w:tc>
        <w:tc>
          <w:tcPr>
            <w:tcW w:w="2351" w:type="dxa"/>
            <w:vAlign w:val="center"/>
          </w:tcPr>
          <w:p w14:paraId="6F5FCDB0">
            <w:pPr>
              <w:spacing w:after="0" w:line="240" w:lineRule="auto"/>
            </w:pPr>
            <w:r>
              <w:t>枚 / %</w:t>
            </w:r>
          </w:p>
        </w:tc>
        <w:tc>
          <w:tcPr>
            <w:tcW w:w="2351" w:type="dxa"/>
            <w:vAlign w:val="center"/>
          </w:tcPr>
          <w:p w14:paraId="3924D631">
            <w:pPr>
              <w:spacing w:after="0" w:line="240" w:lineRule="auto"/>
            </w:pPr>
            <w:r>
              <w:t>观察系统状态演化与结果稳健性，支撑方案比较（问题 5）</w:t>
            </w:r>
          </w:p>
        </w:tc>
      </w:tr>
    </w:tbl>
    <w:p w14:paraId="33FF3995">
      <w:r>
        <w:t>说明：评价指标应与核心决策问题一一对应，避免后续出现“模型有结果但无法回答决策问题”的情况。</w:t>
      </w:r>
    </w:p>
    <w:p w14:paraId="78C18478">
      <w:pPr>
        <w:pStyle w:val="3"/>
      </w:pPr>
      <w:r>
        <w:t>十、数据需求初步清单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1471"/>
        <w:gridCol w:w="4484"/>
        <w:gridCol w:w="1053"/>
        <w:gridCol w:w="1701"/>
      </w:tblGrid>
      <w:tr w14:paraId="5A95F69C">
        <w:trPr>
          <w:jc w:val="center"/>
        </w:trPr>
        <w:tc>
          <w:tcPr>
            <w:tcW w:w="1881" w:type="dxa"/>
            <w:shd w:val="clear" w:color="auto" w:fill="D9EAF7"/>
            <w:vAlign w:val="center"/>
          </w:tcPr>
          <w:p w14:paraId="47EEDBD4">
            <w:pPr>
              <w:spacing w:after="0" w:line="240" w:lineRule="auto"/>
            </w:pPr>
            <w:r>
              <w:rPr>
                <w:rFonts w:ascii="宋体" w:hAnsi="宋体" w:eastAsia="宋体"/>
                <w:b/>
                <w:sz w:val="21"/>
              </w:rPr>
              <w:t>数据类别</w:t>
            </w:r>
          </w:p>
        </w:tc>
        <w:tc>
          <w:tcPr>
            <w:tcW w:w="1881" w:type="dxa"/>
            <w:shd w:val="clear" w:color="auto" w:fill="D9EAF7"/>
            <w:vAlign w:val="center"/>
          </w:tcPr>
          <w:p w14:paraId="1A629A3C">
            <w:pPr>
              <w:spacing w:after="0" w:line="240" w:lineRule="auto"/>
            </w:pPr>
            <w:r>
              <w:rPr>
                <w:rFonts w:ascii="宋体" w:hAnsi="宋体" w:eastAsia="宋体"/>
                <w:b/>
                <w:sz w:val="21"/>
              </w:rPr>
              <w:t>所需数据</w:t>
            </w:r>
          </w:p>
        </w:tc>
        <w:tc>
          <w:tcPr>
            <w:tcW w:w="1881" w:type="dxa"/>
            <w:shd w:val="clear" w:color="auto" w:fill="D9EAF7"/>
            <w:vAlign w:val="center"/>
          </w:tcPr>
          <w:p w14:paraId="473F1B2D">
            <w:pPr>
              <w:spacing w:after="0" w:line="240" w:lineRule="auto"/>
            </w:pPr>
            <w:r>
              <w:rPr>
                <w:rFonts w:ascii="宋体" w:hAnsi="宋体" w:eastAsia="宋体"/>
                <w:b/>
                <w:sz w:val="21"/>
              </w:rPr>
              <w:t>数据形式/分布</w:t>
            </w:r>
          </w:p>
        </w:tc>
        <w:tc>
          <w:tcPr>
            <w:tcW w:w="1881" w:type="dxa"/>
            <w:shd w:val="clear" w:color="auto" w:fill="D9EAF7"/>
            <w:vAlign w:val="center"/>
          </w:tcPr>
          <w:p w14:paraId="0EEA9CE4">
            <w:pPr>
              <w:spacing w:after="0" w:line="240" w:lineRule="auto"/>
            </w:pPr>
            <w:r>
              <w:rPr>
                <w:rFonts w:ascii="宋体" w:hAnsi="宋体" w:eastAsia="宋体"/>
                <w:b/>
                <w:sz w:val="21"/>
              </w:rPr>
              <w:t>当前是否已有</w:t>
            </w:r>
          </w:p>
        </w:tc>
        <w:tc>
          <w:tcPr>
            <w:tcW w:w="1881" w:type="dxa"/>
            <w:shd w:val="clear" w:color="auto" w:fill="D9EAF7"/>
            <w:vAlign w:val="center"/>
          </w:tcPr>
          <w:p w14:paraId="566C7E67">
            <w:pPr>
              <w:spacing w:after="0" w:line="240" w:lineRule="auto"/>
            </w:pPr>
            <w:r>
              <w:rPr>
                <w:rFonts w:ascii="宋体" w:hAnsi="宋体" w:eastAsia="宋体"/>
                <w:b/>
                <w:sz w:val="21"/>
              </w:rPr>
              <w:t>备注</w:t>
            </w:r>
          </w:p>
        </w:tc>
      </w:tr>
      <w:tr w14:paraId="0834DCF7">
        <w:trPr>
          <w:jc w:val="center"/>
        </w:trPr>
        <w:tc>
          <w:tcPr>
            <w:tcW w:w="1881" w:type="dxa"/>
            <w:vAlign w:val="center"/>
          </w:tcPr>
          <w:p w14:paraId="1B95CC6E">
            <w:pPr>
              <w:spacing w:after="0" w:line="240" w:lineRule="auto"/>
            </w:pPr>
            <w:r>
              <w:rPr>
                <w:rFonts w:ascii="宋体" w:hAnsi="宋体" w:eastAsia="宋体"/>
                <w:b w:val="0"/>
                <w:sz w:val="21"/>
              </w:rPr>
              <w:t>实体到达</w:t>
            </w:r>
          </w:p>
        </w:tc>
        <w:tc>
          <w:tcPr>
            <w:tcW w:w="1881" w:type="dxa"/>
            <w:vAlign w:val="center"/>
          </w:tcPr>
          <w:p w14:paraId="13DC3F4A">
            <w:pPr>
              <w:spacing w:after="0" w:line="240" w:lineRule="auto"/>
            </w:pPr>
            <w:r>
              <w:t>交易到达间隔；LP 添加/移除到达间隔</w:t>
            </w:r>
          </w:p>
        </w:tc>
        <w:tc>
          <w:tcPr>
            <w:tcW w:w="1881" w:type="dxa"/>
            <w:vAlign w:val="center"/>
          </w:tcPr>
          <w:p w14:paraId="1D80003E">
            <w:pPr>
              <w:spacing w:after="0" w:line="240" w:lineRule="auto"/>
            </w:pPr>
            <w:r>
              <w:t>EXPO(5 min)；EXPO(2 h)/EXPO(3 h)</w:t>
            </w:r>
          </w:p>
        </w:tc>
        <w:tc>
          <w:tcPr>
            <w:tcW w:w="1881" w:type="dxa"/>
            <w:vAlign w:val="center"/>
          </w:tcPr>
          <w:p w14:paraId="488B4CD0">
            <w:pPr>
              <w:spacing w:after="0" w:line="240" w:lineRule="auto"/>
            </w:pPr>
            <w:r>
              <w:t>已有（案例给定）</w:t>
            </w:r>
          </w:p>
        </w:tc>
        <w:tc>
          <w:tcPr>
            <w:tcW w:w="1881" w:type="dxa"/>
            <w:vAlign w:val="center"/>
          </w:tcPr>
          <w:p w14:paraId="4F6DAEAA">
            <w:pPr>
              <w:spacing w:after="0" w:line="240" w:lineRule="auto"/>
            </w:pPr>
            <w:r>
              <w:t>需在 Arena 中拟合验证随机数流设置</w:t>
            </w:r>
          </w:p>
        </w:tc>
      </w:tr>
      <w:tr w14:paraId="6687AB9F">
        <w:trPr>
          <w:jc w:val="center"/>
        </w:trPr>
        <w:tc>
          <w:tcPr>
            <w:tcW w:w="1881" w:type="dxa"/>
            <w:vAlign w:val="center"/>
          </w:tcPr>
          <w:p w14:paraId="6AED5567">
            <w:pPr>
              <w:spacing w:after="0" w:line="240" w:lineRule="auto"/>
            </w:pPr>
            <w:r>
              <w:rPr>
                <w:rFonts w:ascii="宋体" w:hAnsi="宋体" w:eastAsia="宋体"/>
                <w:b w:val="0"/>
                <w:sz w:val="21"/>
              </w:rPr>
              <w:t>实体属性</w:t>
            </w:r>
          </w:p>
        </w:tc>
        <w:tc>
          <w:tcPr>
            <w:tcW w:w="1881" w:type="dxa"/>
            <w:vAlign w:val="center"/>
          </w:tcPr>
          <w:p w14:paraId="3B8E73CB">
            <w:pPr>
              <w:spacing w:after="0" w:line="240" w:lineRule="auto"/>
            </w:pPr>
            <w:r>
              <w:t>交易类型占比、规模分布、滑点容忍度；LP 操作规模分布</w:t>
            </w:r>
          </w:p>
        </w:tc>
        <w:tc>
          <w:tcPr>
            <w:tcW w:w="1881" w:type="dxa"/>
            <w:vAlign w:val="center"/>
          </w:tcPr>
          <w:p w14:paraId="3A290FC2">
            <w:pPr>
              <w:spacing w:after="0" w:line="240" w:lineRule="auto"/>
            </w:pPr>
            <w:r>
              <w:t>60/30/10%；UNIF(100–1000/1000–10000/10000–50000)；容忍度 1%/3%/5%；LP 离散均匀</w:t>
            </w:r>
          </w:p>
        </w:tc>
        <w:tc>
          <w:tcPr>
            <w:tcW w:w="1881" w:type="dxa"/>
            <w:vAlign w:val="center"/>
          </w:tcPr>
          <w:p w14:paraId="4EA03AB2">
            <w:pPr>
              <w:spacing w:after="0" w:line="240" w:lineRule="auto"/>
            </w:pPr>
            <w:r>
              <w:t>已有（案例给定）</w:t>
            </w:r>
          </w:p>
        </w:tc>
        <w:tc>
          <w:tcPr>
            <w:tcW w:w="1881" w:type="dxa"/>
            <w:vAlign w:val="center"/>
          </w:tcPr>
          <w:p w14:paraId="35440395">
            <w:pPr>
              <w:spacing w:after="0" w:line="240" w:lineRule="auto"/>
            </w:pPr>
            <w:r>
              <w:t>大额分布右偏，注意滑点尾部风险</w:t>
            </w:r>
          </w:p>
        </w:tc>
      </w:tr>
      <w:tr w14:paraId="5D68FE9E">
        <w:trPr>
          <w:jc w:val="center"/>
        </w:trPr>
        <w:tc>
          <w:tcPr>
            <w:tcW w:w="1881" w:type="dxa"/>
            <w:vAlign w:val="center"/>
          </w:tcPr>
          <w:p w14:paraId="75E32D7E">
            <w:pPr>
              <w:spacing w:after="0" w:line="240" w:lineRule="auto"/>
            </w:pPr>
            <w:r>
              <w:rPr>
                <w:rFonts w:ascii="宋体" w:hAnsi="宋体" w:eastAsia="宋体"/>
                <w:b w:val="0"/>
                <w:sz w:val="21"/>
              </w:rPr>
              <w:t>服务时间</w:t>
            </w:r>
          </w:p>
        </w:tc>
        <w:tc>
          <w:tcPr>
            <w:tcW w:w="1881" w:type="dxa"/>
            <w:vAlign w:val="center"/>
          </w:tcPr>
          <w:p w14:paraId="592742B5">
            <w:pPr>
              <w:spacing w:after="0" w:line="240" w:lineRule="auto"/>
            </w:pPr>
            <w:r>
              <w:t>交易执行时间</w:t>
            </w:r>
          </w:p>
        </w:tc>
        <w:tc>
          <w:tcPr>
            <w:tcW w:w="1881" w:type="dxa"/>
            <w:vAlign w:val="center"/>
          </w:tcPr>
          <w:p w14:paraId="1BB242F4">
            <w:pPr>
              <w:spacing w:after="0" w:line="240" w:lineRule="auto"/>
            </w:pPr>
            <w:r>
              <w:t>瞬时（AMM 即时成交，服务时间为 0）</w:t>
            </w:r>
          </w:p>
        </w:tc>
        <w:tc>
          <w:tcPr>
            <w:tcW w:w="1881" w:type="dxa"/>
            <w:vAlign w:val="center"/>
          </w:tcPr>
          <w:p w14:paraId="09FFE09F">
            <w:pPr>
              <w:spacing w:after="0" w:line="240" w:lineRule="auto"/>
            </w:pPr>
            <w:r>
              <w:t>已有（机制假设）</w:t>
            </w:r>
          </w:p>
        </w:tc>
        <w:tc>
          <w:tcPr>
            <w:tcW w:w="1881" w:type="dxa"/>
            <w:vAlign w:val="center"/>
          </w:tcPr>
          <w:p w14:paraId="5529E6C3">
            <w:pPr>
              <w:spacing w:after="0" w:line="240" w:lineRule="auto"/>
            </w:pPr>
            <w:r>
              <w:t>不设服务台排队，用 Process/Variable 直接结算</w:t>
            </w:r>
          </w:p>
        </w:tc>
      </w:tr>
      <w:tr w14:paraId="68882235">
        <w:trPr>
          <w:jc w:val="center"/>
        </w:trPr>
        <w:tc>
          <w:tcPr>
            <w:tcW w:w="1881" w:type="dxa"/>
            <w:vAlign w:val="center"/>
          </w:tcPr>
          <w:p w14:paraId="7E910E9E">
            <w:pPr>
              <w:spacing w:after="0" w:line="240" w:lineRule="auto"/>
            </w:pPr>
            <w:r>
              <w:rPr>
                <w:rFonts w:ascii="宋体" w:hAnsi="宋体" w:eastAsia="宋体"/>
                <w:b w:val="0"/>
                <w:sz w:val="21"/>
              </w:rPr>
              <w:t>资源数量/能力</w:t>
            </w:r>
          </w:p>
        </w:tc>
        <w:tc>
          <w:tcPr>
            <w:tcW w:w="1881" w:type="dxa"/>
            <w:vAlign w:val="center"/>
          </w:tcPr>
          <w:p w14:paraId="068AD301">
            <w:pPr>
              <w:spacing w:after="0" w:line="240" w:lineRule="auto"/>
            </w:pPr>
            <w:r>
              <w:t>初始储备 100万 A / 200万 B；LP 添加 1万–10万 A、移除 1万–5万 A</w:t>
            </w:r>
          </w:p>
        </w:tc>
        <w:tc>
          <w:tcPr>
            <w:tcW w:w="1881" w:type="dxa"/>
            <w:vAlign w:val="center"/>
          </w:tcPr>
          <w:p w14:paraId="23CCBDA0">
            <w:pPr>
              <w:spacing w:after="0" w:line="240" w:lineRule="auto"/>
            </w:pPr>
            <w:r>
              <w:t>定值 + 离散均匀分布</w:t>
            </w:r>
          </w:p>
        </w:tc>
        <w:tc>
          <w:tcPr>
            <w:tcW w:w="1881" w:type="dxa"/>
            <w:vAlign w:val="center"/>
          </w:tcPr>
          <w:p w14:paraId="02EC5BC0">
            <w:pPr>
              <w:spacing w:after="0" w:line="240" w:lineRule="auto"/>
            </w:pPr>
            <w:r>
              <w:t>已有（案例给定）</w:t>
            </w:r>
          </w:p>
        </w:tc>
        <w:tc>
          <w:tcPr>
            <w:tcW w:w="1881" w:type="dxa"/>
            <w:vAlign w:val="center"/>
          </w:tcPr>
          <w:p w14:paraId="71CEBCE9">
            <w:pPr>
              <w:spacing w:after="0" w:line="240" w:lineRule="auto"/>
            </w:pPr>
            <w:r>
              <w:t>LP 规模以 Token A 计，B 按当前比例折算</w:t>
            </w:r>
          </w:p>
        </w:tc>
      </w:tr>
      <w:tr w14:paraId="7136585F">
        <w:trPr>
          <w:jc w:val="center"/>
        </w:trPr>
        <w:tc>
          <w:tcPr>
            <w:tcW w:w="1881" w:type="dxa"/>
            <w:vAlign w:val="center"/>
          </w:tcPr>
          <w:p w14:paraId="5AE6F801">
            <w:pPr>
              <w:spacing w:after="0" w:line="240" w:lineRule="auto"/>
            </w:pPr>
            <w:r>
              <w:rPr>
                <w:rFonts w:ascii="宋体" w:hAnsi="宋体" w:eastAsia="宋体"/>
                <w:b w:val="0"/>
                <w:sz w:val="21"/>
              </w:rPr>
              <w:t>排队规则</w:t>
            </w:r>
          </w:p>
        </w:tc>
        <w:tc>
          <w:tcPr>
            <w:tcW w:w="1881" w:type="dxa"/>
            <w:vAlign w:val="center"/>
          </w:tcPr>
          <w:p w14:paraId="7C43AE06">
            <w:pPr>
              <w:spacing w:after="0" w:line="240" w:lineRule="auto"/>
            </w:pPr>
            <w:r>
              <w:t>无排队（即时成交）；滑点超限则放弃</w:t>
            </w:r>
          </w:p>
        </w:tc>
        <w:tc>
          <w:tcPr>
            <w:tcW w:w="1881" w:type="dxa"/>
            <w:vAlign w:val="center"/>
          </w:tcPr>
          <w:p w14:paraId="37505AB7">
            <w:pPr>
              <w:spacing w:after="0" w:line="240" w:lineRule="auto"/>
            </w:pPr>
            <w:r>
              <w:t>确定性规则</w:t>
            </w:r>
          </w:p>
        </w:tc>
        <w:tc>
          <w:tcPr>
            <w:tcW w:w="1881" w:type="dxa"/>
            <w:vAlign w:val="center"/>
          </w:tcPr>
          <w:p w14:paraId="28CEE3C4">
            <w:pPr>
              <w:spacing w:after="0" w:line="240" w:lineRule="auto"/>
            </w:pPr>
            <w:r>
              <w:t>已有（机制假设）</w:t>
            </w:r>
          </w:p>
        </w:tc>
        <w:tc>
          <w:tcPr>
            <w:tcW w:w="1881" w:type="dxa"/>
            <w:vAlign w:val="center"/>
          </w:tcPr>
          <w:p w14:paraId="425A2BAE">
            <w:pPr>
              <w:spacing w:after="0" w:line="240" w:lineRule="auto"/>
            </w:pPr>
            <w:r>
              <w:t>需在 Decide 模块实现滑点判断</w:t>
            </w:r>
          </w:p>
        </w:tc>
      </w:tr>
      <w:tr w14:paraId="516E216C">
        <w:trPr>
          <w:jc w:val="center"/>
        </w:trPr>
        <w:tc>
          <w:tcPr>
            <w:tcW w:w="1881" w:type="dxa"/>
            <w:vAlign w:val="center"/>
          </w:tcPr>
          <w:p w14:paraId="4389FB57">
            <w:pPr>
              <w:spacing w:after="0" w:line="240" w:lineRule="auto"/>
            </w:pPr>
            <w:r>
              <w:rPr>
                <w:rFonts w:ascii="宋体" w:hAnsi="宋体" w:eastAsia="宋体"/>
                <w:b w:val="0"/>
                <w:sz w:val="21"/>
              </w:rPr>
              <w:t>系统运行规则</w:t>
            </w:r>
          </w:p>
        </w:tc>
        <w:tc>
          <w:tcPr>
            <w:tcW w:w="1881" w:type="dxa"/>
            <w:vAlign w:val="center"/>
          </w:tcPr>
          <w:p w14:paraId="48F662E3">
            <w:pPr>
              <w:spacing w:after="0" w:line="240" w:lineRule="auto"/>
            </w:pPr>
            <w:r>
              <w:t>恒定乘积定价 x·y=k；手续费 0.3% 回流；外部价格变化率 N(0,2%)/h；仿真 168 h、10 次重复</w:t>
            </w:r>
          </w:p>
        </w:tc>
        <w:tc>
          <w:tcPr>
            <w:tcW w:w="1881" w:type="dxa"/>
            <w:vAlign w:val="center"/>
          </w:tcPr>
          <w:p w14:paraId="217C0697">
            <w:pPr>
              <w:spacing w:after="0" w:line="240" w:lineRule="auto"/>
            </w:pPr>
            <w:r>
              <w:t>确定性规则 + 正态分布</w:t>
            </w:r>
          </w:p>
        </w:tc>
        <w:tc>
          <w:tcPr>
            <w:tcW w:w="1881" w:type="dxa"/>
            <w:vAlign w:val="center"/>
          </w:tcPr>
          <w:p w14:paraId="5C029F3E">
            <w:pPr>
              <w:spacing w:after="0" w:line="240" w:lineRule="auto"/>
            </w:pPr>
            <w:r>
              <w:t>已有（案例给定）</w:t>
            </w:r>
          </w:p>
        </w:tc>
        <w:tc>
          <w:tcPr>
            <w:tcW w:w="1881" w:type="dxa"/>
            <w:vAlign w:val="center"/>
          </w:tcPr>
          <w:p w14:paraId="62A7E341">
            <w:pPr>
              <w:spacing w:after="0" w:line="240" w:lineRule="auto"/>
            </w:pPr>
            <w:r>
              <w:t>外部价格为外生随机游走</w:t>
            </w:r>
          </w:p>
        </w:tc>
      </w:tr>
      <w:tr w14:paraId="04BA9F47">
        <w:trPr>
          <w:jc w:val="center"/>
        </w:trPr>
        <w:tc>
          <w:tcPr>
            <w:tcW w:w="1881" w:type="dxa"/>
            <w:vAlign w:val="center"/>
          </w:tcPr>
          <w:p w14:paraId="0F812FB3">
            <w:pPr>
              <w:spacing w:after="0" w:line="240" w:lineRule="auto"/>
            </w:pPr>
            <w:r>
              <w:rPr>
                <w:rFonts w:ascii="宋体" w:hAnsi="宋体" w:eastAsia="宋体"/>
                <w:b w:val="0"/>
                <w:sz w:val="21"/>
              </w:rPr>
              <w:t>其他</w:t>
            </w:r>
          </w:p>
        </w:tc>
        <w:tc>
          <w:tcPr>
            <w:tcW w:w="1881" w:type="dxa"/>
            <w:vAlign w:val="center"/>
          </w:tcPr>
          <w:p w14:paraId="7A945F9D">
            <w:pPr>
              <w:spacing w:after="0" w:line="240" w:lineRule="auto"/>
            </w:pPr>
            <w:r>
              <w:t>（待补充）真实 DEX 交易流水用于校准分布</w:t>
            </w:r>
          </w:p>
        </w:tc>
        <w:tc>
          <w:tcPr>
            <w:tcW w:w="1881" w:type="dxa"/>
            <w:vAlign w:val="center"/>
          </w:tcPr>
          <w:p w14:paraId="36F0B048">
            <w:pPr>
              <w:spacing w:after="0" w:line="240" w:lineRule="auto"/>
            </w:pPr>
            <w:r>
              <w:t>历史数据统计/分布拟合</w:t>
            </w:r>
          </w:p>
        </w:tc>
        <w:tc>
          <w:tcPr>
            <w:tcW w:w="1881" w:type="dxa"/>
            <w:vAlign w:val="center"/>
          </w:tcPr>
          <w:p w14:paraId="563D04BC">
            <w:pPr>
              <w:spacing w:after="0" w:line="240" w:lineRule="auto"/>
            </w:pPr>
            <w:r>
              <w:t>暂无</w:t>
            </w:r>
          </w:p>
        </w:tc>
        <w:tc>
          <w:tcPr>
            <w:tcW w:w="1881" w:type="dxa"/>
            <w:vAlign w:val="center"/>
          </w:tcPr>
          <w:p w14:paraId="41C88559">
            <w:pPr>
              <w:spacing w:after="0" w:line="240" w:lineRule="auto"/>
            </w:pPr>
            <w:r>
              <w:t>如有条件可参考 Uniswap 公开数据做参数合理性检查</w:t>
            </w:r>
          </w:p>
        </w:tc>
      </w:tr>
    </w:tbl>
    <w:p w14:paraId="3FEC70C9">
      <w:r>
        <w:t>本次只需提出数据需求，不要求完成全部数据收集。下一阶段将进一步完成数据与参数整理。</w:t>
      </w:r>
    </w:p>
    <w:p w14:paraId="20C545F9">
      <w:pPr>
        <w:pStyle w:val="3"/>
      </w:pPr>
      <w:r>
        <w:t>十一、初步假设与需要进一步确认的问题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55985DF">
        <w:trPr>
          <w:jc w:val="center"/>
        </w:trPr>
        <w:tc>
          <w:tcPr>
            <w:tcW w:w="3135" w:type="dxa"/>
            <w:shd w:val="clear" w:color="auto" w:fill="D9EAF7"/>
            <w:vAlign w:val="center"/>
          </w:tcPr>
          <w:p w14:paraId="346A2EE5">
            <w:pPr>
              <w:spacing w:after="0" w:line="240" w:lineRule="auto"/>
            </w:pPr>
            <w:r>
              <w:rPr>
                <w:rFonts w:ascii="宋体" w:hAnsi="宋体" w:eastAsia="宋体"/>
                <w:b/>
                <w:sz w:val="21"/>
              </w:rPr>
              <w:t>序号</w:t>
            </w:r>
          </w:p>
        </w:tc>
        <w:tc>
          <w:tcPr>
            <w:tcW w:w="3135" w:type="dxa"/>
            <w:shd w:val="clear" w:color="auto" w:fill="D9EAF7"/>
            <w:vAlign w:val="center"/>
          </w:tcPr>
          <w:p w14:paraId="59674A03">
            <w:pPr>
              <w:spacing w:after="0" w:line="240" w:lineRule="auto"/>
            </w:pPr>
            <w:r>
              <w:rPr>
                <w:rFonts w:ascii="宋体" w:hAnsi="宋体" w:eastAsia="宋体"/>
                <w:b/>
                <w:sz w:val="21"/>
              </w:rPr>
              <w:t>初步假设/待确认事项</w:t>
            </w:r>
          </w:p>
        </w:tc>
        <w:tc>
          <w:tcPr>
            <w:tcW w:w="3135" w:type="dxa"/>
            <w:shd w:val="clear" w:color="auto" w:fill="D9EAF7"/>
            <w:vAlign w:val="center"/>
          </w:tcPr>
          <w:p w14:paraId="3F20E48E">
            <w:pPr>
              <w:spacing w:after="0" w:line="240" w:lineRule="auto"/>
            </w:pPr>
            <w:r>
              <w:rPr>
                <w:rFonts w:ascii="宋体" w:hAnsi="宋体" w:eastAsia="宋体"/>
                <w:b/>
                <w:sz w:val="21"/>
              </w:rPr>
              <w:t>对模型可能产生的影响</w:t>
            </w:r>
          </w:p>
        </w:tc>
      </w:tr>
      <w:tr w14:paraId="56A3F8C8">
        <w:trPr>
          <w:jc w:val="center"/>
        </w:trPr>
        <w:tc>
          <w:tcPr>
            <w:tcW w:w="3135" w:type="dxa"/>
            <w:vAlign w:val="center"/>
          </w:tcPr>
          <w:p w14:paraId="2F271B8B">
            <w:pPr>
              <w:spacing w:after="0" w:line="240" w:lineRule="auto"/>
            </w:pPr>
            <w:r>
              <w:rPr>
                <w:rFonts w:ascii="宋体" w:hAnsi="宋体" w:eastAsia="宋体"/>
                <w:b w:val="0"/>
                <w:sz w:val="21"/>
              </w:rPr>
              <w:t>1</w:t>
            </w:r>
          </w:p>
        </w:tc>
        <w:tc>
          <w:tcPr>
            <w:tcW w:w="3135" w:type="dxa"/>
            <w:vAlign w:val="center"/>
          </w:tcPr>
          <w:p w14:paraId="79205589">
            <w:pPr>
              <w:spacing w:after="0" w:line="240" w:lineRule="auto"/>
            </w:pPr>
            <w:r>
              <w:t>交易即时成交、无排队，忽略区块链确认延迟与 gas 费</w:t>
            </w:r>
          </w:p>
        </w:tc>
        <w:tc>
          <w:tcPr>
            <w:tcW w:w="3135" w:type="dxa"/>
            <w:vAlign w:val="center"/>
          </w:tcPr>
          <w:p w14:paraId="7CCE340A">
            <w:pPr>
              <w:spacing w:after="0" w:line="240" w:lineRule="auto"/>
            </w:pPr>
            <w:r>
              <w:t>简化了服务过程；若实际存在延迟，会低估交易失败风险</w:t>
            </w:r>
          </w:p>
        </w:tc>
      </w:tr>
      <w:tr w14:paraId="40C35924">
        <w:trPr>
          <w:jc w:val="center"/>
        </w:trPr>
        <w:tc>
          <w:tcPr>
            <w:tcW w:w="3135" w:type="dxa"/>
            <w:vAlign w:val="center"/>
          </w:tcPr>
          <w:p w14:paraId="78F81A3C">
            <w:pPr>
              <w:spacing w:after="0" w:line="240" w:lineRule="auto"/>
            </w:pPr>
            <w:r>
              <w:rPr>
                <w:rFonts w:ascii="宋体" w:hAnsi="宋体" w:eastAsia="宋体"/>
                <w:b w:val="0"/>
                <w:sz w:val="21"/>
              </w:rPr>
              <w:t>2</w:t>
            </w:r>
          </w:p>
        </w:tc>
        <w:tc>
          <w:tcPr>
            <w:tcW w:w="3135" w:type="dxa"/>
            <w:vAlign w:val="center"/>
          </w:tcPr>
          <w:p w14:paraId="21754EF6">
            <w:pPr>
              <w:spacing w:after="0" w:line="240" w:lineRule="auto"/>
            </w:pPr>
            <w:r>
              <w:t>池内价格完全由储备比例决定，用户只能按池价成交，不考虑跨交易所套利者抹平价差</w:t>
            </w:r>
          </w:p>
        </w:tc>
        <w:tc>
          <w:tcPr>
            <w:tcW w:w="3135" w:type="dxa"/>
            <w:vAlign w:val="center"/>
          </w:tcPr>
          <w:p w14:paraId="4017910C">
            <w:pPr>
              <w:spacing w:after="0" w:line="240" w:lineRule="auto"/>
            </w:pPr>
            <w:r>
              <w:t>池价可能偏离外部价；会高估无常损失的持续程度</w:t>
            </w:r>
          </w:p>
        </w:tc>
      </w:tr>
      <w:tr w14:paraId="4A3218DE">
        <w:trPr>
          <w:jc w:val="center"/>
        </w:trPr>
        <w:tc>
          <w:tcPr>
            <w:tcW w:w="3135" w:type="dxa"/>
            <w:vAlign w:val="center"/>
          </w:tcPr>
          <w:p w14:paraId="256C13F9">
            <w:pPr>
              <w:spacing w:after="0" w:line="240" w:lineRule="auto"/>
            </w:pPr>
            <w:r>
              <w:rPr>
                <w:rFonts w:ascii="宋体" w:hAnsi="宋体" w:eastAsia="宋体"/>
                <w:b w:val="0"/>
                <w:sz w:val="21"/>
              </w:rPr>
              <w:t>3</w:t>
            </w:r>
          </w:p>
        </w:tc>
        <w:tc>
          <w:tcPr>
            <w:tcW w:w="3135" w:type="dxa"/>
            <w:vAlign w:val="center"/>
          </w:tcPr>
          <w:p w14:paraId="04744A03">
            <w:pPr>
              <w:spacing w:after="0" w:line="240" w:lineRule="auto"/>
            </w:pPr>
            <w:r>
              <w:t>外部市场价格为外生随机游走 N(0, 2%)/h，与池内交易无反馈</w:t>
            </w:r>
          </w:p>
        </w:tc>
        <w:tc>
          <w:tcPr>
            <w:tcW w:w="3135" w:type="dxa"/>
            <w:vAlign w:val="center"/>
          </w:tcPr>
          <w:p w14:paraId="0D3F4AD9">
            <w:pPr>
              <w:spacing w:after="0" w:line="240" w:lineRule="auto"/>
            </w:pPr>
            <w:r>
              <w:t>简化外部市场；实际中大额交易可能影响市场价</w:t>
            </w:r>
          </w:p>
        </w:tc>
      </w:tr>
      <w:tr w14:paraId="33AC8F3E">
        <w:trPr>
          <w:jc w:val="center"/>
        </w:trPr>
        <w:tc>
          <w:tcPr>
            <w:tcW w:w="3135" w:type="dxa"/>
            <w:vAlign w:val="center"/>
          </w:tcPr>
          <w:p w14:paraId="2E94FD96">
            <w:pPr>
              <w:spacing w:after="0" w:line="240" w:lineRule="auto"/>
            </w:pPr>
            <w:r>
              <w:rPr>
                <w:rFonts w:ascii="宋体" w:hAnsi="宋体" w:eastAsia="宋体"/>
                <w:b w:val="0"/>
                <w:sz w:val="21"/>
              </w:rPr>
              <w:t>4</w:t>
            </w:r>
          </w:p>
        </w:tc>
        <w:tc>
          <w:tcPr>
            <w:tcW w:w="3135" w:type="dxa"/>
            <w:vAlign w:val="center"/>
          </w:tcPr>
          <w:p w14:paraId="497F8EAF">
            <w:pPr>
              <w:spacing w:after="0" w:line="240" w:lineRule="auto"/>
            </w:pPr>
            <w:r>
              <w:t>LP 行为（添加/移除时机与规模）独立于池内收益状况</w:t>
            </w:r>
          </w:p>
        </w:tc>
        <w:tc>
          <w:tcPr>
            <w:tcW w:w="3135" w:type="dxa"/>
            <w:vAlign w:val="center"/>
          </w:tcPr>
          <w:p w14:paraId="2D6DA709">
            <w:pPr>
              <w:spacing w:after="0" w:line="240" w:lineRule="auto"/>
            </w:pPr>
            <w:r>
              <w:t>忽略 LP 逐利行为；实际中亏损时撤资会更频繁</w:t>
            </w:r>
          </w:p>
        </w:tc>
      </w:tr>
      <w:tr w14:paraId="5D9973AB">
        <w:trPr>
          <w:jc w:val="center"/>
        </w:trPr>
        <w:tc>
          <w:tcPr>
            <w:tcW w:w="3135" w:type="dxa"/>
            <w:vAlign w:val="center"/>
          </w:tcPr>
          <w:p w14:paraId="46AB02F3">
            <w:pPr>
              <w:spacing w:after="0" w:line="240" w:lineRule="auto"/>
            </w:pPr>
            <w:r>
              <w:rPr>
                <w:rFonts w:ascii="宋体" w:hAnsi="宋体" w:eastAsia="宋体"/>
                <w:b w:val="0"/>
                <w:sz w:val="21"/>
              </w:rPr>
              <w:t>5</w:t>
            </w:r>
          </w:p>
        </w:tc>
        <w:tc>
          <w:tcPr>
            <w:tcW w:w="3135" w:type="dxa"/>
            <w:vAlign w:val="center"/>
          </w:tcPr>
          <w:p w14:paraId="6AC4EB83">
            <w:pPr>
              <w:spacing w:after="0" w:line="240" w:lineRule="auto"/>
            </w:pPr>
            <w:r>
              <w:t>滑点超限交易直接放弃且不再重试；所有分布在整个仿真期内平稳（不随时间变化）</w:t>
            </w:r>
          </w:p>
        </w:tc>
        <w:tc>
          <w:tcPr>
            <w:tcW w:w="3135" w:type="dxa"/>
            <w:vAlign w:val="center"/>
          </w:tcPr>
          <w:p w14:paraId="71A1CC29">
            <w:pPr>
              <w:spacing w:after="0" w:line="240" w:lineRule="auto"/>
            </w:pPr>
            <w:r>
              <w:t>忽略用户重试与需求非平稳性，可能低估高峰期拥堵</w:t>
            </w:r>
          </w:p>
        </w:tc>
      </w:tr>
    </w:tbl>
    <w:p w14:paraId="13B4D5C1">
      <w:pPr>
        <w:pStyle w:val="3"/>
      </w:pPr>
      <w:r>
        <w:t>十二、AI辅助使用记录（如使用）</w:t>
      </w:r>
    </w:p>
    <w:p w14:paraId="1BDDC5CD">
      <w:r>
        <w:t>可记录使用生成式AI进行案例理解、问题梳理、变量识别、指标设计等情况。AI用于辅助思考，不替代小组对案例和仿真逻辑的判断。</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FB7BB45">
        <w:trPr>
          <w:jc w:val="center"/>
        </w:trPr>
        <w:tc>
          <w:tcPr>
            <w:tcW w:w="3135" w:type="dxa"/>
            <w:shd w:val="clear" w:color="auto" w:fill="D9EAF7"/>
            <w:vAlign w:val="center"/>
          </w:tcPr>
          <w:p w14:paraId="320B28F6">
            <w:pPr>
              <w:spacing w:after="0" w:line="240" w:lineRule="auto"/>
            </w:pPr>
            <w:r>
              <w:rPr>
                <w:rFonts w:ascii="宋体" w:hAnsi="宋体" w:eastAsia="宋体"/>
                <w:b/>
                <w:sz w:val="21"/>
              </w:rPr>
              <w:t>AI辅助环节</w:t>
            </w:r>
          </w:p>
        </w:tc>
        <w:tc>
          <w:tcPr>
            <w:tcW w:w="3135" w:type="dxa"/>
            <w:shd w:val="clear" w:color="auto" w:fill="D9EAF7"/>
            <w:vAlign w:val="center"/>
          </w:tcPr>
          <w:p w14:paraId="738E9EF1">
            <w:pPr>
              <w:spacing w:after="0" w:line="240" w:lineRule="auto"/>
            </w:pPr>
            <w:r>
              <w:rPr>
                <w:rFonts w:ascii="宋体" w:hAnsi="宋体" w:eastAsia="宋体"/>
                <w:b/>
                <w:sz w:val="21"/>
              </w:rPr>
              <w:t>使用方式/提示词概述</w:t>
            </w:r>
          </w:p>
        </w:tc>
        <w:tc>
          <w:tcPr>
            <w:tcW w:w="3135" w:type="dxa"/>
            <w:shd w:val="clear" w:color="auto" w:fill="D9EAF7"/>
            <w:vAlign w:val="center"/>
          </w:tcPr>
          <w:p w14:paraId="3A1FA983">
            <w:pPr>
              <w:spacing w:after="0" w:line="240" w:lineRule="auto"/>
            </w:pPr>
            <w:r>
              <w:rPr>
                <w:rFonts w:ascii="宋体" w:hAnsi="宋体" w:eastAsia="宋体"/>
                <w:b/>
                <w:sz w:val="21"/>
              </w:rPr>
              <w:t>小组核验与修改</w:t>
            </w:r>
          </w:p>
        </w:tc>
      </w:tr>
      <w:tr w14:paraId="6301A235">
        <w:trPr>
          <w:jc w:val="center"/>
        </w:trPr>
        <w:tc>
          <w:tcPr>
            <w:tcW w:w="3135" w:type="dxa"/>
            <w:vAlign w:val="center"/>
          </w:tcPr>
          <w:p w14:paraId="511A3F77">
            <w:pPr>
              <w:spacing w:after="0" w:line="240" w:lineRule="auto"/>
            </w:pPr>
            <w:r>
              <w:t>案例理解与问题梳理</w:t>
            </w:r>
          </w:p>
        </w:tc>
        <w:tc>
          <w:tcPr>
            <w:tcW w:w="3135" w:type="dxa"/>
            <w:vAlign w:val="center"/>
          </w:tcPr>
          <w:p w14:paraId="71236377">
            <w:pPr>
              <w:spacing w:after="0" w:line="240" w:lineRule="auto"/>
            </w:pPr>
            <w:r>
              <w:t>向 AI 提供案例材料，请其归纳实体、资源、事件与核心决策问题清单</w:t>
            </w:r>
          </w:p>
        </w:tc>
        <w:tc>
          <w:tcPr>
            <w:tcW w:w="3135" w:type="dxa"/>
            <w:vAlign w:val="center"/>
          </w:tcPr>
          <w:p w14:paraId="5D237259">
            <w:pPr>
              <w:spacing w:after="0" w:line="240" w:lineRule="auto"/>
            </w:pPr>
            <w:r>
              <w:t>小组对照课程案例原文逐项核对，剔除了超出案例设定的内容</w:t>
            </w:r>
          </w:p>
        </w:tc>
      </w:tr>
      <w:tr w14:paraId="24CBFC0A">
        <w:trPr>
          <w:jc w:val="center"/>
        </w:trPr>
        <w:tc>
          <w:tcPr>
            <w:tcW w:w="3135" w:type="dxa"/>
            <w:vAlign w:val="center"/>
          </w:tcPr>
          <w:p w14:paraId="38ECB28F">
            <w:pPr>
              <w:spacing w:after="0" w:line="240" w:lineRule="auto"/>
            </w:pPr>
            <w:r>
              <w:t>决策变量与指标设计</w:t>
            </w:r>
          </w:p>
        </w:tc>
        <w:tc>
          <w:tcPr>
            <w:tcW w:w="3135" w:type="dxa"/>
            <w:vAlign w:val="center"/>
          </w:tcPr>
          <w:p w14:paraId="7A123FC5">
            <w:pPr>
              <w:spacing w:after="0" w:line="240" w:lineRule="auto"/>
            </w:pPr>
            <w:r>
              <w:t>请 AI 基于案例参数提出决策变量、备选方案与评价指标的对照表</w:t>
            </w:r>
          </w:p>
        </w:tc>
        <w:tc>
          <w:tcPr>
            <w:tcW w:w="3135" w:type="dxa"/>
            <w:vAlign w:val="center"/>
          </w:tcPr>
          <w:p w14:paraId="0E9A927C">
            <w:pPr>
              <w:spacing w:after="0" w:line="240" w:lineRule="auto"/>
            </w:pPr>
            <w:r>
              <w:t>小组讨论后保留与课程决策问题一一对应的指标，补充单位与意义</w:t>
            </w:r>
          </w:p>
        </w:tc>
      </w:tr>
      <w:tr w14:paraId="0E6BF7E6">
        <w:trPr>
          <w:jc w:val="center"/>
        </w:trPr>
        <w:tc>
          <w:tcPr>
            <w:tcW w:w="3135" w:type="dxa"/>
            <w:vAlign w:val="center"/>
          </w:tcPr>
          <w:p w14:paraId="6E8ADC7F">
            <w:pPr>
              <w:spacing w:after="0" w:line="240" w:lineRule="auto"/>
            </w:pPr>
            <w:r>
              <w:t>系统边界与假设论证</w:t>
            </w:r>
          </w:p>
        </w:tc>
        <w:tc>
          <w:tcPr>
            <w:tcW w:w="3135" w:type="dxa"/>
            <w:vAlign w:val="center"/>
          </w:tcPr>
          <w:p w14:paraId="16320BEA">
            <w:pPr>
              <w:spacing w:after="0" w:line="240" w:lineRule="auto"/>
            </w:pPr>
            <w:r>
              <w:t>请 AI 列举常见 AMM 仿真假设并分析各假设对结果的影响</w:t>
            </w:r>
          </w:p>
        </w:tc>
        <w:tc>
          <w:tcPr>
            <w:tcW w:w="3135" w:type="dxa"/>
            <w:vAlign w:val="center"/>
          </w:tcPr>
          <w:p w14:paraId="0CBF59CE">
            <w:pPr>
              <w:spacing w:after="0" w:line="240" w:lineRule="auto"/>
            </w:pPr>
            <w:r>
              <w:t>小组结合本课程建模范围筛选，明确不纳入的环节及理由</w:t>
            </w:r>
          </w:p>
        </w:tc>
      </w:tr>
      <w:tr w14:paraId="584D2EF7">
        <w:trPr>
          <w:jc w:val="center"/>
        </w:trPr>
        <w:tc>
          <w:tcPr>
            <w:tcW w:w="3135" w:type="dxa"/>
            <w:vAlign w:val="center"/>
          </w:tcPr>
          <w:p w14:paraId="15F50EE2">
            <w:pPr>
              <w:spacing w:after="0" w:line="240" w:lineRule="auto"/>
            </w:pPr>
          </w:p>
        </w:tc>
        <w:tc>
          <w:tcPr>
            <w:tcW w:w="3135" w:type="dxa"/>
            <w:vAlign w:val="center"/>
          </w:tcPr>
          <w:p w14:paraId="558950A1">
            <w:pPr>
              <w:spacing w:after="0" w:line="240" w:lineRule="auto"/>
            </w:pPr>
          </w:p>
        </w:tc>
        <w:tc>
          <w:tcPr>
            <w:tcW w:w="3135" w:type="dxa"/>
            <w:vAlign w:val="center"/>
          </w:tcPr>
          <w:p w14:paraId="5CA03655">
            <w:pPr>
              <w:spacing w:after="0" w:line="240" w:lineRule="auto"/>
            </w:pPr>
          </w:p>
        </w:tc>
      </w:tr>
    </w:tbl>
    <w:p w14:paraId="47D2058B">
      <w:pPr>
        <w:pStyle w:val="3"/>
      </w:pPr>
      <w:r>
        <w:t>十三、小组讨论结论</w:t>
      </w:r>
    </w:p>
    <w:p w14:paraId="7300AAB0">
      <w:r>
        <w:t>用100—200字总结：本组最终选择研究什么系统、最关注什么管理问题、后续准备通过仿真比较什么方案。</w:t>
      </w:r>
    </w:p>
    <w:p w14:paraId="00A1173E">
      <w:r>
        <w:t>本组选择研究 DEX 恒定乘积 AMM 流动性池交易系统，最关注的核心管理问题是：在随机交易流与外部价格波动下，手续费收入能否覆盖 LP 的无常损失、系统能否为不同规模交易提供可接受的滑点水平。后续将以基准方案（手续费 0.3%、波动率 2%、大额占比 10%）为基础，通过仿真比较手续费率（0.3%/0.5%）、外部波动率（2%/5%）、大额交易占比（10%/20%）等备选方案，以 LP 净收益、交易失败率与滑点水平为评价指标，为 DEX 的费率与流动性管理提出量化建议。</w:t>
      </w:r>
    </w:p>
    <w:p w14:paraId="183FAFB6"/>
    <w:p w14:paraId="4D1ADDD8"/>
    <w:p w14:paraId="1ECF1D08"/>
    <w:p w14:paraId="49C383E3"/>
    <w:p w14:paraId="507355BD">
      <w:pPr>
        <w:pStyle w:val="3"/>
      </w:pPr>
      <w:r>
        <w:t>十四、教师评价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2AA4BE98">
        <w:trPr>
          <w:jc w:val="center"/>
        </w:trPr>
        <w:tc>
          <w:tcPr>
            <w:tcW w:w="2351" w:type="dxa"/>
            <w:shd w:val="clear" w:color="auto" w:fill="D9EAF7"/>
            <w:vAlign w:val="center"/>
          </w:tcPr>
          <w:p w14:paraId="173F9C58">
            <w:pPr>
              <w:spacing w:after="0" w:line="240" w:lineRule="auto"/>
            </w:pPr>
            <w:r>
              <w:rPr>
                <w:rFonts w:ascii="宋体" w:hAnsi="宋体" w:eastAsia="宋体"/>
                <w:b/>
                <w:sz w:val="21"/>
              </w:rPr>
              <w:t>评价维度</w:t>
            </w:r>
          </w:p>
        </w:tc>
        <w:tc>
          <w:tcPr>
            <w:tcW w:w="2351" w:type="dxa"/>
            <w:shd w:val="clear" w:color="auto" w:fill="D9EAF7"/>
            <w:vAlign w:val="center"/>
          </w:tcPr>
          <w:p w14:paraId="05B33A1C">
            <w:pPr>
              <w:spacing w:after="0" w:line="240" w:lineRule="auto"/>
            </w:pPr>
            <w:r>
              <w:rPr>
                <w:rFonts w:ascii="宋体" w:hAnsi="宋体" w:eastAsia="宋体"/>
                <w:b/>
                <w:sz w:val="21"/>
              </w:rPr>
              <w:t>评价要点</w:t>
            </w:r>
          </w:p>
        </w:tc>
        <w:tc>
          <w:tcPr>
            <w:tcW w:w="2351" w:type="dxa"/>
            <w:shd w:val="clear" w:color="auto" w:fill="D9EAF7"/>
            <w:vAlign w:val="center"/>
          </w:tcPr>
          <w:p w14:paraId="61BC6FB3">
            <w:pPr>
              <w:spacing w:after="0" w:line="240" w:lineRule="auto"/>
            </w:pPr>
            <w:r>
              <w:rPr>
                <w:rFonts w:ascii="宋体" w:hAnsi="宋体" w:eastAsia="宋体"/>
                <w:b/>
                <w:sz w:val="21"/>
              </w:rPr>
              <w:t>得分</w:t>
            </w:r>
          </w:p>
        </w:tc>
        <w:tc>
          <w:tcPr>
            <w:tcW w:w="2351" w:type="dxa"/>
            <w:shd w:val="clear" w:color="auto" w:fill="D9EAF7"/>
            <w:vAlign w:val="center"/>
          </w:tcPr>
          <w:p w14:paraId="4BEDB945">
            <w:pPr>
              <w:spacing w:after="0" w:line="240" w:lineRule="auto"/>
            </w:pPr>
            <w:r>
              <w:rPr>
                <w:rFonts w:ascii="宋体" w:hAnsi="宋体" w:eastAsia="宋体"/>
                <w:b/>
                <w:sz w:val="21"/>
              </w:rPr>
              <w:t>教师评语</w:t>
            </w:r>
          </w:p>
        </w:tc>
      </w:tr>
      <w:tr w14:paraId="45A60330">
        <w:trPr>
          <w:jc w:val="center"/>
        </w:trPr>
        <w:tc>
          <w:tcPr>
            <w:tcW w:w="2351" w:type="dxa"/>
            <w:vAlign w:val="center"/>
          </w:tcPr>
          <w:p w14:paraId="1A8E5DE9">
            <w:pPr>
              <w:spacing w:after="0" w:line="240" w:lineRule="auto"/>
            </w:pPr>
            <w:r>
              <w:rPr>
                <w:rFonts w:ascii="宋体" w:hAnsi="宋体" w:eastAsia="宋体"/>
                <w:b w:val="0"/>
                <w:sz w:val="21"/>
              </w:rPr>
              <w:t>问题定义</w:t>
            </w:r>
          </w:p>
        </w:tc>
        <w:tc>
          <w:tcPr>
            <w:tcW w:w="2351" w:type="dxa"/>
            <w:vAlign w:val="center"/>
          </w:tcPr>
          <w:p w14:paraId="615E2FE3">
            <w:pPr>
              <w:spacing w:after="0" w:line="240" w:lineRule="auto"/>
            </w:pPr>
            <w:r>
              <w:rPr>
                <w:rFonts w:ascii="宋体" w:hAnsi="宋体" w:eastAsia="宋体"/>
                <w:b w:val="0"/>
                <w:sz w:val="21"/>
              </w:rPr>
              <w:t>问题具体、具有决策意义</w:t>
            </w:r>
          </w:p>
        </w:tc>
        <w:tc>
          <w:tcPr>
            <w:tcW w:w="2351" w:type="dxa"/>
            <w:vAlign w:val="center"/>
          </w:tcPr>
          <w:p w14:paraId="24548458">
            <w:pPr>
              <w:spacing w:after="0" w:line="240" w:lineRule="auto"/>
            </w:pPr>
            <w:r>
              <w:rPr>
                <w:rFonts w:ascii="宋体" w:hAnsi="宋体" w:eastAsia="宋体"/>
                <w:b w:val="0"/>
                <w:sz w:val="21"/>
              </w:rPr>
              <w:t>____</w:t>
            </w:r>
          </w:p>
        </w:tc>
        <w:tc>
          <w:tcPr>
            <w:tcW w:w="2351" w:type="dxa"/>
            <w:vAlign w:val="center"/>
          </w:tcPr>
          <w:p w14:paraId="757CA711">
            <w:pPr>
              <w:spacing w:after="0" w:line="240" w:lineRule="auto"/>
            </w:pPr>
          </w:p>
        </w:tc>
      </w:tr>
      <w:tr w14:paraId="798C81E2">
        <w:trPr>
          <w:jc w:val="center"/>
        </w:trPr>
        <w:tc>
          <w:tcPr>
            <w:tcW w:w="2351" w:type="dxa"/>
            <w:vAlign w:val="center"/>
          </w:tcPr>
          <w:p w14:paraId="74C77C03">
            <w:pPr>
              <w:spacing w:after="0" w:line="240" w:lineRule="auto"/>
            </w:pPr>
            <w:r>
              <w:rPr>
                <w:rFonts w:ascii="宋体" w:hAnsi="宋体" w:eastAsia="宋体"/>
                <w:b w:val="0"/>
                <w:sz w:val="21"/>
              </w:rPr>
              <w:t>系统边界</w:t>
            </w:r>
          </w:p>
        </w:tc>
        <w:tc>
          <w:tcPr>
            <w:tcW w:w="2351" w:type="dxa"/>
            <w:vAlign w:val="center"/>
          </w:tcPr>
          <w:p w14:paraId="6EE4E69F">
            <w:pPr>
              <w:spacing w:after="0" w:line="240" w:lineRule="auto"/>
            </w:pPr>
            <w:r>
              <w:rPr>
                <w:rFonts w:ascii="宋体" w:hAnsi="宋体" w:eastAsia="宋体"/>
                <w:b w:val="0"/>
                <w:sz w:val="21"/>
              </w:rPr>
              <w:t>研究对象和范围清晰</w:t>
            </w:r>
          </w:p>
        </w:tc>
        <w:tc>
          <w:tcPr>
            <w:tcW w:w="2351" w:type="dxa"/>
            <w:vAlign w:val="center"/>
          </w:tcPr>
          <w:p w14:paraId="0DBBCBD1">
            <w:pPr>
              <w:spacing w:after="0" w:line="240" w:lineRule="auto"/>
            </w:pPr>
            <w:r>
              <w:rPr>
                <w:rFonts w:ascii="宋体" w:hAnsi="宋体" w:eastAsia="宋体"/>
                <w:b w:val="0"/>
                <w:sz w:val="21"/>
              </w:rPr>
              <w:t>____</w:t>
            </w:r>
          </w:p>
        </w:tc>
        <w:tc>
          <w:tcPr>
            <w:tcW w:w="2351" w:type="dxa"/>
            <w:vAlign w:val="center"/>
          </w:tcPr>
          <w:p w14:paraId="0CD04DB3">
            <w:pPr>
              <w:spacing w:after="0" w:line="240" w:lineRule="auto"/>
            </w:pPr>
          </w:p>
        </w:tc>
      </w:tr>
      <w:tr w14:paraId="714F432E">
        <w:trPr>
          <w:jc w:val="center"/>
        </w:trPr>
        <w:tc>
          <w:tcPr>
            <w:tcW w:w="2351" w:type="dxa"/>
            <w:vAlign w:val="center"/>
          </w:tcPr>
          <w:p w14:paraId="3CE1EAA2">
            <w:pPr>
              <w:spacing w:after="0" w:line="240" w:lineRule="auto"/>
            </w:pPr>
            <w:r>
              <w:rPr>
                <w:rFonts w:ascii="宋体" w:hAnsi="宋体" w:eastAsia="宋体"/>
                <w:b w:val="0"/>
                <w:sz w:val="21"/>
              </w:rPr>
              <w:t>流程理解</w:t>
            </w:r>
          </w:p>
        </w:tc>
        <w:tc>
          <w:tcPr>
            <w:tcW w:w="2351" w:type="dxa"/>
            <w:vAlign w:val="center"/>
          </w:tcPr>
          <w:p w14:paraId="74149C26">
            <w:pPr>
              <w:spacing w:after="0" w:line="240" w:lineRule="auto"/>
            </w:pPr>
            <w:r>
              <w:rPr>
                <w:rFonts w:ascii="宋体" w:hAnsi="宋体" w:eastAsia="宋体"/>
                <w:b w:val="0"/>
                <w:sz w:val="21"/>
              </w:rPr>
              <w:t>能够描述主要实体、资源与事件</w:t>
            </w:r>
          </w:p>
        </w:tc>
        <w:tc>
          <w:tcPr>
            <w:tcW w:w="2351" w:type="dxa"/>
            <w:vAlign w:val="center"/>
          </w:tcPr>
          <w:p w14:paraId="5636B3CE">
            <w:pPr>
              <w:spacing w:after="0" w:line="240" w:lineRule="auto"/>
            </w:pPr>
            <w:r>
              <w:rPr>
                <w:rFonts w:ascii="宋体" w:hAnsi="宋体" w:eastAsia="宋体"/>
                <w:b w:val="0"/>
                <w:sz w:val="21"/>
              </w:rPr>
              <w:t>____</w:t>
            </w:r>
          </w:p>
        </w:tc>
        <w:tc>
          <w:tcPr>
            <w:tcW w:w="2351" w:type="dxa"/>
            <w:vAlign w:val="center"/>
          </w:tcPr>
          <w:p w14:paraId="1F9C2024">
            <w:pPr>
              <w:spacing w:after="0" w:line="240" w:lineRule="auto"/>
            </w:pPr>
          </w:p>
        </w:tc>
      </w:tr>
      <w:tr w14:paraId="4F178691">
        <w:trPr>
          <w:jc w:val="center"/>
        </w:trPr>
        <w:tc>
          <w:tcPr>
            <w:tcW w:w="2351" w:type="dxa"/>
            <w:vAlign w:val="center"/>
          </w:tcPr>
          <w:p w14:paraId="4A44C9FA">
            <w:pPr>
              <w:spacing w:after="0" w:line="240" w:lineRule="auto"/>
            </w:pPr>
            <w:r>
              <w:rPr>
                <w:rFonts w:ascii="宋体" w:hAnsi="宋体" w:eastAsia="宋体"/>
                <w:b w:val="0"/>
                <w:sz w:val="21"/>
              </w:rPr>
              <w:t>决策问题</w:t>
            </w:r>
          </w:p>
        </w:tc>
        <w:tc>
          <w:tcPr>
            <w:tcW w:w="2351" w:type="dxa"/>
            <w:vAlign w:val="center"/>
          </w:tcPr>
          <w:p w14:paraId="0FFBD956">
            <w:pPr>
              <w:spacing w:after="0" w:line="240" w:lineRule="auto"/>
            </w:pPr>
            <w:r>
              <w:rPr>
                <w:rFonts w:ascii="宋体" w:hAnsi="宋体" w:eastAsia="宋体"/>
                <w:b w:val="0"/>
                <w:sz w:val="21"/>
              </w:rPr>
              <w:t>可通过仿真实验回答</w:t>
            </w:r>
          </w:p>
        </w:tc>
        <w:tc>
          <w:tcPr>
            <w:tcW w:w="2351" w:type="dxa"/>
            <w:vAlign w:val="center"/>
          </w:tcPr>
          <w:p w14:paraId="403E4BD9">
            <w:pPr>
              <w:spacing w:after="0" w:line="240" w:lineRule="auto"/>
            </w:pPr>
            <w:r>
              <w:rPr>
                <w:rFonts w:ascii="宋体" w:hAnsi="宋体" w:eastAsia="宋体"/>
                <w:b w:val="0"/>
                <w:sz w:val="21"/>
              </w:rPr>
              <w:t>____</w:t>
            </w:r>
          </w:p>
        </w:tc>
        <w:tc>
          <w:tcPr>
            <w:tcW w:w="2351" w:type="dxa"/>
            <w:vAlign w:val="center"/>
          </w:tcPr>
          <w:p w14:paraId="09D3D303">
            <w:pPr>
              <w:spacing w:after="0" w:line="240" w:lineRule="auto"/>
            </w:pPr>
          </w:p>
        </w:tc>
      </w:tr>
      <w:tr w14:paraId="6D9DCAD0">
        <w:trPr>
          <w:jc w:val="center"/>
        </w:trPr>
        <w:tc>
          <w:tcPr>
            <w:tcW w:w="2351" w:type="dxa"/>
            <w:vAlign w:val="center"/>
          </w:tcPr>
          <w:p w14:paraId="2B6145A7">
            <w:pPr>
              <w:spacing w:after="0" w:line="240" w:lineRule="auto"/>
            </w:pPr>
            <w:r>
              <w:rPr>
                <w:rFonts w:ascii="宋体" w:hAnsi="宋体" w:eastAsia="宋体"/>
                <w:b w:val="0"/>
                <w:sz w:val="21"/>
              </w:rPr>
              <w:t>成果规范</w:t>
            </w:r>
          </w:p>
        </w:tc>
        <w:tc>
          <w:tcPr>
            <w:tcW w:w="2351" w:type="dxa"/>
            <w:vAlign w:val="center"/>
          </w:tcPr>
          <w:p w14:paraId="7BB66940">
            <w:pPr>
              <w:spacing w:after="0" w:line="240" w:lineRule="auto"/>
            </w:pPr>
            <w:r>
              <w:rPr>
                <w:rFonts w:ascii="宋体" w:hAnsi="宋体" w:eastAsia="宋体"/>
                <w:b w:val="0"/>
                <w:sz w:val="21"/>
              </w:rPr>
              <w:t>内容完整、分工明确、表达规范</w:t>
            </w:r>
          </w:p>
        </w:tc>
        <w:tc>
          <w:tcPr>
            <w:tcW w:w="2351" w:type="dxa"/>
            <w:vAlign w:val="center"/>
          </w:tcPr>
          <w:p w14:paraId="1FDAC861">
            <w:pPr>
              <w:spacing w:after="0" w:line="240" w:lineRule="auto"/>
            </w:pPr>
            <w:r>
              <w:rPr>
                <w:rFonts w:ascii="宋体" w:hAnsi="宋体" w:eastAsia="宋体"/>
                <w:b w:val="0"/>
                <w:sz w:val="21"/>
              </w:rPr>
              <w:t>____</w:t>
            </w:r>
          </w:p>
        </w:tc>
        <w:tc>
          <w:tcPr>
            <w:tcW w:w="2351" w:type="dxa"/>
            <w:vAlign w:val="center"/>
          </w:tcPr>
          <w:p w14:paraId="44C4E25F">
            <w:pPr>
              <w:spacing w:after="0" w:line="240" w:lineRule="auto"/>
            </w:pPr>
          </w:p>
        </w:tc>
      </w:tr>
    </w:tbl>
    <w:p w14:paraId="15B7CDC2"/>
    <w:p w14:paraId="49C113FD">
      <w:pPr>
        <w:jc w:val="center"/>
      </w:pPr>
      <w:bookmarkStart w:id="0" w:name="_GoBack"/>
      <w:r>
        <w:rPr>
          <w:b/>
          <w:sz w:val="21"/>
        </w:rPr>
        <w:t>本次提交成果：问题定义与仿真研究任务书（建议2—4页，不含封面）</w:t>
      </w:r>
    </w:p>
    <w:bookmarkEnd w:id="0"/>
    <w:sectPr>
      <w:pgSz w:w="12240" w:h="15840"/>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Helvetica Neue">
    <w:panose1 w:val="02000503000000020004"/>
    <w:charset w:val="00"/>
    <w:family w:val="auto"/>
    <w:pitch w:val="default"/>
    <w:sig w:usb0="E50002FF" w:usb1="500079DB" w:usb2="00000010" w:usb3="00000000" w:csb0="00000000" w:csb1="00000000"/>
  </w:font>
  <w:font w:name="霞鹜文楷">
    <w:panose1 w:val="02020500000000000000"/>
    <w:charset w:val="86"/>
    <w:family w:val="auto"/>
    <w:pitch w:val="default"/>
    <w:sig w:usb0="E00002FF" w:usb1="7BDFFFFF" w:usb2="04000016" w:usb3="0000A008" w:csb0="6014019F" w:csb1="DFD7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F6D75"/>
    <w:rsid w:val="5FFF921B"/>
    <w:rsid w:val="CDFFB472"/>
    <w:rsid w:val="E5DE9DFD"/>
    <w:rsid w:val="FB666A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陶唐</cp:lastModifiedBy>
  <dcterms:modified xsi:type="dcterms:W3CDTF">2026-10-16T14:50:58Z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ACA11D3F9B5B8EDFEAC8D16ADF55DDCA_42</vt:lpwstr>
  </property>
</Properties>
</file>