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E3A8A"/>
          <w:sz w:val="48"/>
          <w:szCs w:val="48"/>
        </w:rPr>
        <w:t xml:space="preserve">BRIAN NJUGUNA MACHARIA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i/>
          <w:iCs/>
          <w:color w:val="0F766E"/>
          <w:sz w:val="20"/>
          <w:szCs w:val="20"/>
        </w:rPr>
        <w:t xml:space="preserve">Public Administration Professional  ·  Governance &amp; Policy  ·  Community Development</w:t>
      </w:r>
    </w:p>
    <w:p>
      <w:pPr>
        <w:spacing w:after="50" w:before="0"/>
        <w:jc w:val="center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+254 723 700 284</w:t>
      </w:r>
      <w:r>
        <w:rPr>
          <w:color w:val="0F766E"/>
          <w:sz w:val="17"/>
          <w:szCs w:val="17"/>
        </w:rPr>
        <w:t xml:space="preserve">  ·  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briannjuguna694@gmail.com</w:t>
      </w:r>
      <w:r>
        <w:rPr>
          <w:color w:val="0F766E"/>
          <w:sz w:val="17"/>
          <w:szCs w:val="17"/>
        </w:rPr>
        <w:t xml:space="preserve">  ·  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Murang'a, Kenya</w:t>
      </w:r>
    </w:p>
    <w:p>
      <w:pPr>
        <w:pBdr>
          <w:bottom w:val="single" w:color="0F766E" w:sz="6" w:space="1"/>
        </w:pBdr>
        <w:spacing w:after="0" w:before="0"/>
      </w:pP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CAREER OBJECTIVE</w:t>
      </w:r>
    </w:p>
    <w:p>
      <w:pPr>
        <w:pBdr>
          <w:bottom w:val="single" w:color="0F766E" w:sz="6" w:space="1"/>
        </w:pBdr>
        <w:spacing w:after="0" w:before="0"/>
      </w:pPr>
    </w:p>
    <w:p>
      <w:pPr>
        <w:spacing w:after="0" w:before="40"/>
      </w:pPr>
    </w:p>
    <w:p>
      <w:pPr>
        <w:spacing w:after="40" w:before="4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A proactive and analytically driven third-year Bachelor of Public Administration &amp; Governance student at Murang'a University of Technology, pursuing a career in public service, governance, and community development. Combines strong academic grounding in public policy and administration with practical research experience, inter-agency collaboration, and a technology edge — uniquely positioned to support data-informed, citizen-centred public service delivery.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EDUCATION</w:t>
      </w:r>
    </w:p>
    <w:p>
      <w:pPr>
        <w:pBdr>
          <w:bottom w:val="single" w:color="0F766E" w:sz="6" w:space="1"/>
        </w:pBdr>
        <w:spacing w:after="0" w:before="0"/>
      </w:pPr>
    </w:p>
    <w:p>
      <w:pPr>
        <w:spacing w:after="0" w:before="40"/>
      </w:pP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1E3A8A"/>
          <w:sz w:val="20"/>
          <w:szCs w:val="20"/>
        </w:rPr>
        <w:t xml:space="preserve">Bachelor of Public Administration &amp; Governance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Murang'a University of Technology  </w:t>
      </w:r>
      <w:r>
        <w:rPr>
          <w:rFonts w:ascii="Calibri" w:cs="Calibri" w:eastAsia="Calibri" w:hAnsi="Calibri"/>
          <w:color w:val="9CA3AF"/>
          <w:sz w:val="17"/>
          <w:szCs w:val="17"/>
        </w:rPr>
        <w:t xml:space="preserve">(2022 – Present, Expected 2026)</w:t>
      </w:r>
    </w:p>
    <w:p>
      <w:pPr>
        <w:spacing w:after="36" w:before="36"/>
        <w:ind w:left="320" w:hanging="22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Relevant Coursework: Public Policy Analysis, Human Resource Management, Public Finance, Development Administration, Ethics &amp; Governance, Research Methods</w:t>
      </w:r>
    </w:p>
    <w:p>
      <w:pPr>
        <w:spacing w:after="36" w:before="36"/>
        <w:ind w:left="320" w:hanging="22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GPA: On track for honours — consistent academic performance across policy and administration modules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CORE COMPETENCIES</w:t>
      </w:r>
    </w:p>
    <w:p>
      <w:pPr>
        <w:pBdr>
          <w:bottom w:val="single" w:color="0F766E" w:sz="6" w:space="1"/>
        </w:pBdr>
        <w:spacing w:after="0" w:before="0"/>
      </w:pPr>
    </w:p>
    <w:p>
      <w:pPr>
        <w:spacing w:after="0" w:before="4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shd w:fill="F0FDFA" w:color="auto" w:val="clear"/>
            <w:vAlign w:val="center"/>
          </w:tcPr>
          <w:p>
            <w:pPr>
              <w:spacing w:after="55" w:before="55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7"/>
                <w:szCs w:val="17"/>
              </w:rPr>
              <w:t xml:space="preserve">Policy Analysis</w:t>
            </w:r>
          </w:p>
        </w:tc>
        <w:tc>
          <w:tcPr>
            <w:tcW w:type="dxa" w:w="8040"/>
            <w:vAlign w:val="center"/>
          </w:tcPr>
          <w:p>
            <w:pPr>
              <w:spacing w:after="55" w:before="55"/>
              <w:ind w:left="8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Reviewing legislation, identifying implementation gaps, drafting evidence-based policy recommendations</w:t>
            </w:r>
          </w:p>
        </w:tc>
      </w:tr>
      <w:tr>
        <w:tc>
          <w:tcPr>
            <w:tcW w:type="dxa" w:w="2400"/>
            <w:shd w:fill="F0FDFA" w:color="auto" w:val="clear"/>
            <w:vAlign w:val="center"/>
          </w:tcPr>
          <w:p>
            <w:pPr>
              <w:spacing w:after="55" w:before="55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7"/>
                <w:szCs w:val="17"/>
              </w:rPr>
              <w:t xml:space="preserve">Research</w:t>
            </w:r>
          </w:p>
        </w:tc>
        <w:tc>
          <w:tcPr>
            <w:tcW w:type="dxa" w:w="8040"/>
            <w:vAlign w:val="center"/>
          </w:tcPr>
          <w:p>
            <w:pPr>
              <w:spacing w:after="55" w:before="55"/>
              <w:ind w:left="8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Survey design, literature review, quantitative (SPSS) and qualitative data collection and analysis</w:t>
            </w:r>
          </w:p>
        </w:tc>
      </w:tr>
      <w:tr>
        <w:tc>
          <w:tcPr>
            <w:tcW w:type="dxa" w:w="2400"/>
            <w:shd w:fill="F0FDFA" w:color="auto" w:val="clear"/>
            <w:vAlign w:val="center"/>
          </w:tcPr>
          <w:p>
            <w:pPr>
              <w:spacing w:after="55" w:before="55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7"/>
                <w:szCs w:val="17"/>
              </w:rPr>
              <w:t xml:space="preserve">Report Writing</w:t>
            </w:r>
          </w:p>
        </w:tc>
        <w:tc>
          <w:tcPr>
            <w:tcW w:type="dxa" w:w="8040"/>
            <w:vAlign w:val="center"/>
          </w:tcPr>
          <w:p>
            <w:pPr>
              <w:spacing w:after="55" w:before="55"/>
              <w:ind w:left="8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Drafting formal reports, policy briefs, memos, and stakeholder communications</w:t>
            </w:r>
          </w:p>
        </w:tc>
      </w:tr>
      <w:tr>
        <w:tc>
          <w:tcPr>
            <w:tcW w:type="dxa" w:w="2400"/>
            <w:shd w:fill="F0FDFA" w:color="auto" w:val="clear"/>
            <w:vAlign w:val="center"/>
          </w:tcPr>
          <w:p>
            <w:pPr>
              <w:spacing w:after="55" w:before="55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7"/>
                <w:szCs w:val="17"/>
              </w:rPr>
              <w:t xml:space="preserve">HR &amp; Administration</w:t>
            </w:r>
          </w:p>
        </w:tc>
        <w:tc>
          <w:tcPr>
            <w:tcW w:type="dxa" w:w="8040"/>
            <w:vAlign w:val="center"/>
          </w:tcPr>
          <w:p>
            <w:pPr>
              <w:spacing w:after="55" w:before="55"/>
              <w:ind w:left="8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Records management, data administration, HR process support, office coordination</w:t>
            </w:r>
          </w:p>
        </w:tc>
      </w:tr>
      <w:tr>
        <w:tc>
          <w:tcPr>
            <w:tcW w:type="dxa" w:w="2400"/>
            <w:shd w:fill="F0FDFA" w:color="auto" w:val="clear"/>
            <w:vAlign w:val="center"/>
          </w:tcPr>
          <w:p>
            <w:pPr>
              <w:spacing w:after="55" w:before="55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7"/>
                <w:szCs w:val="17"/>
              </w:rPr>
              <w:t xml:space="preserve">Stakeholder Mgmt</w:t>
            </w:r>
          </w:p>
        </w:tc>
        <w:tc>
          <w:tcPr>
            <w:tcW w:type="dxa" w:w="8040"/>
            <w:vAlign w:val="center"/>
          </w:tcPr>
          <w:p>
            <w:pPr>
              <w:spacing w:after="55" w:before="55"/>
              <w:ind w:left="8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Coordinating with government agencies, community leaders, academic institutions, and NGOs</w:t>
            </w:r>
          </w:p>
        </w:tc>
      </w:tr>
      <w:tr>
        <w:tc>
          <w:tcPr>
            <w:tcW w:type="dxa" w:w="2400"/>
            <w:shd w:fill="F0FDFA" w:color="auto" w:val="clear"/>
            <w:vAlign w:val="center"/>
          </w:tcPr>
          <w:p>
            <w:pPr>
              <w:spacing w:after="55" w:before="55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7"/>
                <w:szCs w:val="17"/>
              </w:rPr>
              <w:t xml:space="preserve">Technology</w:t>
            </w:r>
          </w:p>
        </w:tc>
        <w:tc>
          <w:tcPr>
            <w:tcW w:type="dxa" w:w="8040"/>
            <w:vAlign w:val="center"/>
          </w:tcPr>
          <w:p>
            <w:pPr>
              <w:spacing w:after="55" w:before="55"/>
              <w:ind w:left="8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MS Office (Word, Advanced Excel, PowerPoint), SPSS, data management systems, online research</w:t>
            </w:r>
          </w:p>
        </w:tc>
      </w:tr>
      <w:tr>
        <w:tc>
          <w:tcPr>
            <w:tcW w:type="dxa" w:w="2400"/>
            <w:shd w:fill="F0FDFA" w:color="auto" w:val="clear"/>
            <w:vAlign w:val="center"/>
          </w:tcPr>
          <w:p>
            <w:pPr>
              <w:spacing w:after="55" w:before="55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7"/>
                <w:szCs w:val="17"/>
              </w:rPr>
              <w:t xml:space="preserve">Leadership</w:t>
            </w:r>
          </w:p>
        </w:tc>
        <w:tc>
          <w:tcPr>
            <w:tcW w:type="dxa" w:w="8040"/>
            <w:vAlign w:val="center"/>
          </w:tcPr>
          <w:p>
            <w:pPr>
              <w:spacing w:after="55" w:before="55"/>
              <w:ind w:left="8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Team coordination, project facilitation, community mobilisation, mentorship</w:t>
            </w:r>
          </w:p>
        </w:tc>
      </w:tr>
    </w:tbl>
    <w:p>
      <w:pPr>
        <w:spacing w:after="40" w:before="22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EXPERIENCE &amp; PROJECTS</w:t>
      </w:r>
    </w:p>
    <w:p>
      <w:pPr>
        <w:pBdr>
          <w:bottom w:val="single" w:color="0F766E" w:sz="6" w:space="1"/>
        </w:pBdr>
        <w:spacing w:after="0" w:before="0"/>
      </w:pPr>
    </w:p>
    <w:p>
      <w:pPr>
        <w:spacing w:after="0" w:before="40"/>
      </w:pPr>
    </w:p>
    <w:p>
      <w:pPr>
        <w:spacing w:after="12" w:before="100"/>
      </w:pPr>
      <w:r>
        <w:rPr>
          <w:rFonts w:ascii="Calibri" w:cs="Calibri" w:eastAsia="Calibri" w:hAnsi="Calibri"/>
          <w:b/>
          <w:bCs/>
          <w:color w:val="1E3A8A"/>
          <w:sz w:val="20"/>
          <w:szCs w:val="20"/>
        </w:rPr>
        <w:t xml:space="preserve">Ethics &amp; Public Service Researcher</w:t>
      </w:r>
      <w:r>
        <w:rPr>
          <w:color w:val="0F766E"/>
          <w:sz w:val="20"/>
          <w:szCs w:val="20"/>
        </w:rPr>
        <w:t xml:space="preserve">  ·  </w:t>
      </w:r>
      <w:r>
        <w:rPr>
          <w:rFonts w:ascii="Calibri" w:cs="Calibri" w:eastAsia="Calibri" w:hAnsi="Calibri"/>
          <w:i/>
          <w:iCs/>
          <w:color w:val="374151"/>
          <w:sz w:val="19"/>
          <w:szCs w:val="19"/>
        </w:rPr>
        <w:t xml:space="preserve">Narok County Research Project</w:t>
      </w:r>
      <w:r>
        <w:rPr>
          <w:rFonts w:ascii="Calibri" w:cs="Calibri" w:eastAsia="Calibri" w:hAnsi="Calibri"/>
          <w:color w:val="9CA3AF"/>
          <w:sz w:val="17"/>
          <w:szCs w:val="17"/>
        </w:rPr>
        <w:t xml:space="preserve">    2024 – 2025</w:t>
      </w:r>
    </w:p>
    <w:p>
      <w:pPr>
        <w:spacing w:after="36" w:before="36"/>
        <w:ind w:left="320" w:hanging="22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"How Ethical Conduct Affects the Effectiveness of Public Services" — a commissioned team-based policy investigation for Narok County government</w:t>
      </w:r>
    </w:p>
    <w:p>
      <w:pPr>
        <w:spacing w:after="36" w:before="36"/>
        <w:ind w:left="320" w:hanging="22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Co-developed the research proposal, objectives, methodology, and data collection instruments (survey tools, interview guides)</w:t>
      </w:r>
    </w:p>
    <w:p>
      <w:pPr>
        <w:spacing w:after="36" w:before="36"/>
        <w:ind w:left="320" w:hanging="22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Conducted extensive literature review on public service ethics, governance, and accountability frameworks in Kenya</w:t>
      </w:r>
    </w:p>
    <w:p>
      <w:pPr>
        <w:spacing w:after="36" w:before="36"/>
        <w:ind w:left="320" w:hanging="22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Contributed to data analysis using SPSS; drafted findings and policy recommendations for county stakeholders</w:t>
      </w:r>
    </w:p>
    <w:p>
      <w:pPr>
        <w:spacing w:after="36" w:before="36"/>
        <w:ind w:left="320" w:hanging="22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Delivered practical, actionable recommendations to improve governance accountability and service delivery efficiency</w:t>
      </w:r>
    </w:p>
    <w:p>
      <w:pPr>
        <w:spacing w:after="12" w:before="100"/>
      </w:pPr>
      <w:r>
        <w:rPr>
          <w:rFonts w:ascii="Calibri" w:cs="Calibri" w:eastAsia="Calibri" w:hAnsi="Calibri"/>
          <w:b/>
          <w:bCs/>
          <w:color w:val="1E3A8A"/>
          <w:sz w:val="20"/>
          <w:szCs w:val="20"/>
        </w:rPr>
        <w:t xml:space="preserve">Community Development Volunteer</w:t>
      </w:r>
      <w:r>
        <w:rPr>
          <w:color w:val="0F766E"/>
          <w:sz w:val="20"/>
          <w:szCs w:val="20"/>
        </w:rPr>
        <w:t xml:space="preserve">  ·  </w:t>
      </w:r>
      <w:r>
        <w:rPr>
          <w:rFonts w:ascii="Calibri" w:cs="Calibri" w:eastAsia="Calibri" w:hAnsi="Calibri"/>
          <w:i/>
          <w:iCs/>
          <w:color w:val="374151"/>
          <w:sz w:val="19"/>
          <w:szCs w:val="19"/>
        </w:rPr>
        <w:t xml:space="preserve">Mukuyu Location, Murang'a County</w:t>
      </w:r>
      <w:r>
        <w:rPr>
          <w:rFonts w:ascii="Calibri" w:cs="Calibri" w:eastAsia="Calibri" w:hAnsi="Calibri"/>
          <w:color w:val="9CA3AF"/>
          <w:sz w:val="17"/>
          <w:szCs w:val="17"/>
        </w:rPr>
        <w:t xml:space="preserve">    2024</w:t>
      </w:r>
    </w:p>
    <w:p>
      <w:pPr>
        <w:spacing w:after="36" w:before="36"/>
        <w:ind w:left="320" w:hanging="22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Participated in a multi-stakeholder environmental clean-up initiative in partnership with Kiharu Technical Institute and the County Government of Murang'a</w:t>
      </w:r>
    </w:p>
    <w:p>
      <w:pPr>
        <w:spacing w:after="36" w:before="36"/>
        <w:ind w:left="320" w:hanging="22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Coordinated waste collection, sorting, and responsible disposal activities involving students, community members, and county officials</w:t>
      </w:r>
    </w:p>
    <w:p>
      <w:pPr>
        <w:spacing w:after="36" w:before="36"/>
        <w:ind w:left="320" w:hanging="22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Promoted environmental awareness and public health education within the Mukuyu community</w:t>
      </w:r>
    </w:p>
    <w:p>
      <w:pPr>
        <w:spacing w:after="36" w:before="36"/>
        <w:ind w:left="320" w:hanging="22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Demonstrated effective inter-agency collaboration and grassroots community engagement</w:t>
      </w:r>
    </w:p>
    <w:p>
      <w:pPr>
        <w:spacing w:after="12" w:before="100"/>
      </w:pPr>
      <w:r>
        <w:rPr>
          <w:rFonts w:ascii="Calibri" w:cs="Calibri" w:eastAsia="Calibri" w:hAnsi="Calibri"/>
          <w:b/>
          <w:bCs/>
          <w:color w:val="1E3A8A"/>
          <w:sz w:val="20"/>
          <w:szCs w:val="20"/>
        </w:rPr>
        <w:t xml:space="preserve">MUT Hackathon Participant</w:t>
      </w:r>
      <w:r>
        <w:rPr>
          <w:color w:val="0F766E"/>
          <w:sz w:val="20"/>
          <w:szCs w:val="20"/>
        </w:rPr>
        <w:t xml:space="preserve">  ·  </w:t>
      </w:r>
      <w:r>
        <w:rPr>
          <w:rFonts w:ascii="Calibri" w:cs="Calibri" w:eastAsia="Calibri" w:hAnsi="Calibri"/>
          <w:i/>
          <w:iCs/>
          <w:color w:val="374151"/>
          <w:sz w:val="19"/>
          <w:szCs w:val="19"/>
        </w:rPr>
        <w:t xml:space="preserve">Murang'a University of Technology</w:t>
      </w:r>
      <w:r>
        <w:rPr>
          <w:rFonts w:ascii="Calibri" w:cs="Calibri" w:eastAsia="Calibri" w:hAnsi="Calibri"/>
          <w:color w:val="9CA3AF"/>
          <w:sz w:val="17"/>
          <w:szCs w:val="17"/>
        </w:rPr>
        <w:t xml:space="preserve">    2024</w:t>
      </w:r>
    </w:p>
    <w:p>
      <w:pPr>
        <w:spacing w:after="36" w:before="36"/>
        <w:ind w:left="320" w:hanging="22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Collaborated in a cross-disciplinary team to design and prototype technology-driven public sector solutions</w:t>
      </w:r>
    </w:p>
    <w:p>
      <w:pPr>
        <w:spacing w:after="36" w:before="36"/>
        <w:ind w:left="320" w:hanging="22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Applied public administration principles to technology solution framing — bridging governance theory and practical innovation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PUBLIC ADMINISTRATION SKILLS</w:t>
      </w:r>
    </w:p>
    <w:p>
      <w:pPr>
        <w:pBdr>
          <w:bottom w:val="single" w:color="0F766E" w:sz="6" w:space="1"/>
        </w:pBdr>
        <w:spacing w:after="0" w:before="0"/>
      </w:pPr>
    </w:p>
    <w:p>
      <w:pPr>
        <w:spacing w:after="0" w:before="40"/>
      </w:pPr>
    </w:p>
    <w:p>
      <w:pPr>
        <w:spacing w:after="36" w:before="36"/>
        <w:ind w:left="320" w:hanging="22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Public Policy Analysis &amp; Review — identifying regulatory gaps and recommending evidence-based improvements</w:t>
      </w:r>
    </w:p>
    <w:p>
      <w:pPr>
        <w:spacing w:after="36" w:before="36"/>
        <w:ind w:left="320" w:hanging="22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Development Administration — understanding of devolution, county government structures, and public finance management</w:t>
      </w:r>
    </w:p>
    <w:p>
      <w:pPr>
        <w:spacing w:after="36" w:before="36"/>
        <w:ind w:left="320" w:hanging="22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Human Resource Management — HR principles, performance management, staff welfare considerations</w:t>
      </w:r>
    </w:p>
    <w:p>
      <w:pPr>
        <w:spacing w:after="36" w:before="36"/>
        <w:ind w:left="320" w:hanging="22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Records &amp; Data Management — systematic document classification, retrieval, and data quality assurance</w:t>
      </w:r>
    </w:p>
    <w:p>
      <w:pPr>
        <w:spacing w:after="36" w:before="36"/>
        <w:ind w:left="320" w:hanging="22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Community Engagement — grassroots mobilisation, participatory development, stakeholder consultation</w:t>
      </w:r>
    </w:p>
    <w:p>
      <w:pPr>
        <w:spacing w:after="36" w:before="36"/>
        <w:ind w:left="320" w:hanging="22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Communication — formal report writing, public speaking, inter-departmental liaison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TECHNOLOGY ADVANTAGE IN PUBLIC SERVICE</w:t>
      </w:r>
    </w:p>
    <w:p>
      <w:pPr>
        <w:pBdr>
          <w:bottom w:val="single" w:color="0F766E" w:sz="6" w:space="1"/>
        </w:pBdr>
        <w:spacing w:after="0" w:before="0"/>
      </w:pPr>
    </w:p>
    <w:p>
      <w:pPr>
        <w:spacing w:after="0" w:before="40"/>
      </w:pP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0F766E"/>
          <w:sz w:val="18"/>
          <w:szCs w:val="18"/>
        </w:rPr>
        <w:t xml:space="preserve">Unique among public administration candidates: brings software development expertise that directly supports e-governance, digital record systems, data-driven policy analysis, and public service technology modernisation.</w:t>
      </w:r>
    </w:p>
    <w:p>
      <w:pPr>
        <w:spacing w:after="36" w:before="36"/>
        <w:ind w:left="320" w:hanging="22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Proficient in Advanced Excel (VLOOKUP, Pivot Tables, dashboards) and SPSS for data analysis</w:t>
      </w:r>
    </w:p>
    <w:p>
      <w:pPr>
        <w:spacing w:after="36" w:before="36"/>
        <w:ind w:left="320" w:hanging="22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Capable of building digital tools to support administrative processes, reporting systems, and citizen services</w:t>
      </w:r>
    </w:p>
    <w:p>
      <w:pPr>
        <w:spacing w:after="36" w:before="36"/>
        <w:ind w:left="320" w:hanging="22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Experience with AI and data systems relevant to public sector digital transformation agendas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ACHIEVEMENTS &amp; INTERESTS</w:t>
      </w:r>
    </w:p>
    <w:p>
      <w:pPr>
        <w:pBdr>
          <w:bottom w:val="single" w:color="0F766E" w:sz="6" w:space="1"/>
        </w:pBdr>
        <w:spacing w:after="0" w:before="0"/>
      </w:pPr>
    </w:p>
    <w:p>
      <w:pPr>
        <w:spacing w:after="0" w:before="40"/>
      </w:pPr>
    </w:p>
    <w:p>
      <w:pPr>
        <w:spacing w:after="36" w:before="36"/>
        <w:ind w:left="320" w:hanging="22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Completed applied governance research for Narok County — practical policy output with real-world application</w:t>
      </w:r>
    </w:p>
    <w:p>
      <w:pPr>
        <w:spacing w:after="36" w:before="36"/>
        <w:ind w:left="320" w:hanging="22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Led participation in multi-stakeholder environmental initiative — demonstrated community partnership and coordination skills</w:t>
      </w:r>
    </w:p>
    <w:p>
      <w:pPr>
        <w:spacing w:after="36" w:before="36"/>
        <w:ind w:left="320" w:hanging="22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Active interest in: public sector data management, customer service delivery, governance research, and digital administration</w:t>
      </w:r>
    </w:p>
    <w:p>
      <w:pPr>
        <w:spacing w:after="36" w:before="36"/>
        <w:ind w:left="320" w:hanging="22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MUT Hackathon 2024 — innovation in public sector problem-solving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REFEREE</w:t>
      </w:r>
    </w:p>
    <w:p>
      <w:pPr>
        <w:pBdr>
          <w:bottom w:val="single" w:color="0F766E" w:sz="6" w:space="1"/>
        </w:pBdr>
        <w:spacing w:after="0" w:before="0"/>
      </w:pPr>
    </w:p>
    <w:p>
      <w:pPr>
        <w:spacing w:after="0" w:before="40"/>
      </w:pP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1E3A8A"/>
          <w:sz w:val="19"/>
          <w:szCs w:val="19"/>
        </w:rPr>
        <w:t xml:space="preserve">Dr. Edna Jemutai Moi</w:t>
      </w:r>
    </w:p>
    <w:p>
      <w:pPr>
        <w:spacing w:after="10" w:before="0"/>
      </w:pP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Murang'a University of Technology</w:t>
      </w:r>
    </w:p>
    <w:p>
      <w:pPr>
        <w:spacing w:after="60" w:before="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Email: </w:t>
      </w:r>
      <w:r>
        <w:rPr>
          <w:rFonts w:ascii="Calibri" w:cs="Calibri" w:eastAsia="Calibri" w:hAnsi="Calibri"/>
          <w:color w:val="1D4ED8"/>
          <w:sz w:val="18"/>
          <w:szCs w:val="18"/>
        </w:rPr>
        <w:t xml:space="preserve">edyjemu@gmail.com  |  ejemutai@mut.ac.ke</w:t>
      </w:r>
    </w:p>
    <w:sectPr>
      <w:pgSz w:w="12240" w:h="15840" w:orient="portrait"/>
      <w:pgMar w:top="680" w:right="900" w:bottom="6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2026-07-16T06:27:05.558Z</dcterms:created>
  <dcterms:modified xsi:type="dcterms:W3CDTF">2026-07-16T06:27:05.559Z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