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9FE98" w14:textId="24D70D31" w:rsidR="00147BE0" w:rsidRDefault="00147BE0">
      <w:pPr>
        <w:rPr>
          <w:b/>
          <w:bCs/>
          <w:sz w:val="28"/>
          <w:szCs w:val="28"/>
        </w:rPr>
      </w:pPr>
    </w:p>
    <w:p w14:paraId="4EEB362D" w14:textId="1F166128" w:rsidR="00EB1384" w:rsidRPr="00125048" w:rsidRDefault="00EB1384" w:rsidP="0010386C">
      <w:pPr>
        <w:pStyle w:val="IntenseQuote"/>
      </w:pPr>
      <w:proofErr w:type="spellStart"/>
      <w:r w:rsidRPr="00125048">
        <w:rPr>
          <w:b/>
          <w:bCs/>
        </w:rPr>
        <w:t>MiCash</w:t>
      </w:r>
      <w:proofErr w:type="spellEnd"/>
      <w:r w:rsidRPr="00125048">
        <w:rPr>
          <w:b/>
          <w:bCs/>
        </w:rPr>
        <w:t>/ MiBank mobile wallet</w:t>
      </w:r>
      <w:r w:rsidRPr="00125048">
        <w:t xml:space="preserve">- a </w:t>
      </w:r>
      <w:r w:rsidR="00125048">
        <w:t>PNG</w:t>
      </w:r>
      <w:r w:rsidRPr="00125048">
        <w:t xml:space="preserve"> success case: mobile money that worked on basic phones.</w:t>
      </w:r>
    </w:p>
    <w:p w14:paraId="146DDEDA" w14:textId="3BD46FB8" w:rsidR="00BD08E7" w:rsidRPr="0010386C" w:rsidRDefault="0010386C" w:rsidP="0010386C">
      <w:pPr>
        <w:pStyle w:val="ListParagraph"/>
        <w:numPr>
          <w:ilvl w:val="0"/>
          <w:numId w:val="4"/>
        </w:numPr>
        <w:rPr>
          <w:rStyle w:val="IntenseEmphasis"/>
        </w:rPr>
      </w:pPr>
      <w:r w:rsidRPr="0010386C">
        <w:rPr>
          <w:rStyle w:val="IntenseEmphasis"/>
        </w:rPr>
        <w:t>Scope and Stakeholders</w:t>
      </w:r>
    </w:p>
    <w:p w14:paraId="624E5434" w14:textId="0FCBB1BA" w:rsidR="00BD08E7" w:rsidRDefault="00EB1384" w:rsidP="008E69D5">
      <w:r>
        <w:t>The system used in the MiBank was specially used by landowner groups in remote areas of Papua New Guinea are potentially among the biggest beneficiaries of an award- wining product built by microfinance provider</w:t>
      </w:r>
      <w:r w:rsidR="00FF4B37">
        <w:t xml:space="preserve"> MiBank. The system that was put in place had a lot of effect on landowners in rural areas </w:t>
      </w:r>
      <w:r w:rsidR="003C7B9F">
        <w:t>and the benefits are all simple, it’s convenient, there’s easy access and transactions are secure.</w:t>
      </w:r>
    </w:p>
    <w:p w14:paraId="07AD0E92" w14:textId="334CF806" w:rsidR="00BD08E7" w:rsidRPr="007D4456" w:rsidRDefault="00BD08E7" w:rsidP="0010386C">
      <w:pPr>
        <w:pStyle w:val="ListParagraph"/>
        <w:numPr>
          <w:ilvl w:val="0"/>
          <w:numId w:val="4"/>
        </w:numPr>
        <w:rPr>
          <w:rStyle w:val="IntenseEmphasis"/>
        </w:rPr>
      </w:pPr>
      <w:r w:rsidRPr="0010386C">
        <w:rPr>
          <w:rStyle w:val="IntenseEmphasis"/>
        </w:rPr>
        <w:t xml:space="preserve"> </w:t>
      </w:r>
      <w:r w:rsidRPr="007D4456">
        <w:rPr>
          <w:rStyle w:val="IntenseEmphasis"/>
        </w:rPr>
        <w:t>Timeline and Key events</w:t>
      </w:r>
    </w:p>
    <w:p w14:paraId="15149E9B" w14:textId="786E1D70" w:rsidR="00BD08E7" w:rsidRDefault="00BD08E7" w:rsidP="00BD08E7">
      <w:r>
        <w:t xml:space="preserve">Mi cash or Mi Bank was first initiated by the Asian Development bank in 2000 to back countries and help contribute to reducing poverty in the country (Nationwide Microbank (MiBank) Limited, (n.d.)). Considering that Papua New Guinea is a developing country were infrastructure and development hardly reaches remote areas in the </w:t>
      </w:r>
      <w:r w:rsidR="00A022A3">
        <w:t>country. In addition, according to the Nationwide Microbank Limited,</w:t>
      </w:r>
      <w:r>
        <w:t xml:space="preserve"> </w:t>
      </w:r>
      <w:r w:rsidR="00A022A3">
        <w:t>t</w:t>
      </w:r>
      <w:r>
        <w:t>he PNG-ADB Microfinance and Employment Project was created by the government of Papua New Guinea alongside the Asia Development Bank in 2002 to assist local farmers and SME’</w:t>
      </w:r>
      <w:r w:rsidR="00A022A3">
        <w:t>s</w:t>
      </w:r>
      <w:r>
        <w:t>, including lower income households</w:t>
      </w:r>
      <w:r w:rsidR="00A022A3">
        <w:t xml:space="preserve">. In April 2004, the Wau Microbank was created under the micro banking pilot scheme. Then in 2007 of February, </w:t>
      </w:r>
      <w:r>
        <w:t xml:space="preserve"> </w:t>
      </w:r>
      <w:r w:rsidR="00A022A3">
        <w:t>all assets and liabilities were transferred to WMB limited</w:t>
      </w:r>
      <w:r w:rsidR="003E74E4">
        <w:t xml:space="preserve">, </w:t>
      </w:r>
      <w:r w:rsidR="002D1B63">
        <w:t xml:space="preserve">followed by BPNG allowed a banking license to  the Nationwide Microbank Limited in 2008. And finally, MiBank was registered as its trading  name followed by both PNG  Microfinance Limited and the </w:t>
      </w:r>
      <w:proofErr w:type="spellStart"/>
      <w:r w:rsidR="002D1B63">
        <w:t>EsiLoan</w:t>
      </w:r>
      <w:proofErr w:type="spellEnd"/>
      <w:r w:rsidR="002D1B63">
        <w:t xml:space="preserve"> company were adopted by MiBank in 2020.</w:t>
      </w:r>
    </w:p>
    <w:p w14:paraId="3444AEAB" w14:textId="0C3B8AA7" w:rsidR="0010386C" w:rsidRPr="0010386C" w:rsidRDefault="0010386C" w:rsidP="0010386C">
      <w:pPr>
        <w:pStyle w:val="ListParagraph"/>
        <w:numPr>
          <w:ilvl w:val="0"/>
          <w:numId w:val="4"/>
        </w:numPr>
        <w:rPr>
          <w:b/>
          <w:bCs/>
        </w:rPr>
      </w:pPr>
      <w:r w:rsidRPr="0010386C">
        <w:rPr>
          <w:rStyle w:val="IntenseEmphasis"/>
        </w:rPr>
        <w:t>Software Process</w:t>
      </w:r>
    </w:p>
    <w:p w14:paraId="12A48446" w14:textId="56857AEB" w:rsidR="0010386C" w:rsidRDefault="00FF4B37" w:rsidP="008E69D5">
      <w:r>
        <w:t xml:space="preserve">The development of the MiBank improved overtime, it started to deliver modern and </w:t>
      </w:r>
      <w:r w:rsidR="00DC6B1E">
        <w:t>affordable</w:t>
      </w:r>
      <w:r>
        <w:t xml:space="preserve"> savings, loans and insurance products from a network of 16 branches and many agents across PNG. </w:t>
      </w:r>
      <w:r w:rsidR="002947C2">
        <w:t xml:space="preserve">MiBank is at the forefront of innovation, being the first licensed </w:t>
      </w:r>
      <w:r w:rsidR="00627C71">
        <w:t xml:space="preserve">institution to deploy a mobile wallet in the South Pacific called </w:t>
      </w:r>
      <w:proofErr w:type="spellStart"/>
      <w:r w:rsidR="00627C71">
        <w:t>MiCash</w:t>
      </w:r>
      <w:proofErr w:type="spellEnd"/>
      <w:r w:rsidR="00627C71">
        <w:t>, and the first institution to introduce a Microinsurance product in PNG.</w:t>
      </w:r>
    </w:p>
    <w:p w14:paraId="7D059444" w14:textId="413AEE91" w:rsidR="00BD08E7" w:rsidRPr="0010386C" w:rsidRDefault="00BD08E7" w:rsidP="0010386C">
      <w:pPr>
        <w:pStyle w:val="ListParagraph"/>
        <w:numPr>
          <w:ilvl w:val="0"/>
          <w:numId w:val="4"/>
        </w:numPr>
        <w:rPr>
          <w:rStyle w:val="IntenseEmphasis"/>
          <w:i w:val="0"/>
          <w:iCs w:val="0"/>
          <w:color w:val="auto"/>
        </w:rPr>
      </w:pPr>
      <w:r w:rsidRPr="0010386C">
        <w:rPr>
          <w:rStyle w:val="IntenseEmphasis"/>
        </w:rPr>
        <w:t xml:space="preserve"> Attributes of a good software achieved</w:t>
      </w:r>
    </w:p>
    <w:p w14:paraId="5237F9A6" w14:textId="7254F9A9" w:rsidR="00197639" w:rsidRDefault="00627C71" w:rsidP="00627C71">
      <w:r>
        <w:lastRenderedPageBreak/>
        <w:t xml:space="preserve"> </w:t>
      </w:r>
      <w:r w:rsidR="00BD08E7">
        <w:t xml:space="preserve"> When developing a good</w:t>
      </w:r>
      <w:r w:rsidR="005A4805">
        <w:t xml:space="preserve">  software, we  have  to  take  into consideration factors  and attributes that make up  a good software. Mi Cash or Mi Bank had achieved some  important attributes and they include; acceptability, the software was accepted by the  stakeholders (the Papua New Guineans) as it  was developed  with the intention  of  easy use for Papua New Guineans in remote communities. Secondly, it also showed efficiency  in  </w:t>
      </w:r>
      <w:r w:rsidR="00A022A3">
        <w:t>its</w:t>
      </w:r>
      <w:r w:rsidR="005A4805">
        <w:t xml:space="preserve"> use.  It had made it easier  for the stakeholders as it could allow simple and fast banking transactions to be made rather than allowing them to travel long distance to urban areas for this. </w:t>
      </w:r>
      <w:r w:rsidR="00197639">
        <w:t xml:space="preserve">In addition to the attributes that helped make the software a good software, it had also shown dependability and security where the system was reliable and secure when transactions were made which helped build trust in the users. Lastly, MiBank </w:t>
      </w:r>
      <w:r w:rsidR="00A022A3">
        <w:t>achieved</w:t>
      </w:r>
      <w:r w:rsidR="00197639">
        <w:t xml:space="preserve"> maintainability because they were able to maintain the software’s condition  seeing as </w:t>
      </w:r>
      <w:r w:rsidR="00A022A3">
        <w:t>there</w:t>
      </w:r>
      <w:r w:rsidR="00197639">
        <w:t xml:space="preserve"> have not being any cases that made the stakeholders think  twice about the software. These  attributes contributed to  their long-term success and  is now used by many rural communities in Papua New Guinea.</w:t>
      </w:r>
    </w:p>
    <w:p w14:paraId="1A1E3FD9" w14:textId="0693EA55" w:rsidR="0010386C" w:rsidRPr="0010386C" w:rsidRDefault="0010386C" w:rsidP="0010386C">
      <w:pPr>
        <w:pStyle w:val="ListParagraph"/>
        <w:numPr>
          <w:ilvl w:val="0"/>
          <w:numId w:val="4"/>
        </w:numPr>
      </w:pPr>
      <w:r w:rsidRPr="0010386C">
        <w:rPr>
          <w:rStyle w:val="IntenseEmphasis"/>
        </w:rPr>
        <w:t>Software Engineering Practices</w:t>
      </w:r>
      <w:r w:rsidR="008E69D5">
        <w:t xml:space="preserve"> </w:t>
      </w:r>
    </w:p>
    <w:p w14:paraId="46258CF2" w14:textId="08B0443D" w:rsidR="003C7B9F" w:rsidRDefault="001C6B40" w:rsidP="00627C71">
      <w:r w:rsidRPr="001C6B40">
        <w:t>T</w:t>
      </w:r>
      <w:r>
        <w:t>he MiBank/</w:t>
      </w:r>
      <w:proofErr w:type="spellStart"/>
      <w:r>
        <w:t>MiCash</w:t>
      </w:r>
      <w:proofErr w:type="spellEnd"/>
      <w:r>
        <w:t xml:space="preserve"> was a </w:t>
      </w:r>
      <w:r w:rsidR="00A022A3">
        <w:t>success,</w:t>
      </w:r>
      <w:r>
        <w:t xml:space="preserve"> it was on time, on budget and had a satisfactory result</w:t>
      </w:r>
      <w:r w:rsidR="00FB32EF">
        <w:t xml:space="preserve">. Today the MiBank is one of the most reliable sources used for mobile banking it has gained a lot of users over the years, with 16 branches all over Papua New Guinea it has been providing reliable services to its valuable users. As the MiBank started to operate it already had a lot of interested </w:t>
      </w:r>
      <w:r w:rsidR="00A70DA7">
        <w:t>users,</w:t>
      </w:r>
      <w:r w:rsidR="00FB32EF">
        <w:t xml:space="preserve"> and it was suitable for the environment</w:t>
      </w:r>
      <w:r w:rsidR="00BD08E7">
        <w:t>.</w:t>
      </w:r>
    </w:p>
    <w:p w14:paraId="3B6338FF" w14:textId="12E5868D" w:rsidR="00BD08E7" w:rsidRPr="0010386C" w:rsidRDefault="00BD08E7" w:rsidP="0010386C">
      <w:pPr>
        <w:pStyle w:val="ListParagraph"/>
        <w:numPr>
          <w:ilvl w:val="0"/>
          <w:numId w:val="4"/>
        </w:numPr>
        <w:rPr>
          <w:rStyle w:val="IntenseEmphasis"/>
        </w:rPr>
      </w:pPr>
      <w:r w:rsidRPr="0010386C">
        <w:rPr>
          <w:rStyle w:val="IntenseEmphasis"/>
        </w:rPr>
        <w:t>PNG Lens</w:t>
      </w:r>
    </w:p>
    <w:p w14:paraId="490D7977" w14:textId="336C55A3" w:rsidR="00B62D7D" w:rsidRDefault="00B62D7D" w:rsidP="00627C71">
      <w:r>
        <w:rPr>
          <w:rStyle w:val="IntenseEmphasis"/>
          <w:i w:val="0"/>
          <w:iCs w:val="0"/>
          <w:color w:val="auto"/>
        </w:rPr>
        <w:t>A  software engineer needs to know and learn requirements to build a good software. The Mi Bank case was successful because the engineers of the software and business idea learnt the scope and the challenges in those rural areas and created a software that would help the rural communities. The Mi C</w:t>
      </w:r>
      <w:r w:rsidR="00A12C9F">
        <w:rPr>
          <w:rStyle w:val="IntenseEmphasis"/>
          <w:i w:val="0"/>
          <w:iCs w:val="0"/>
          <w:color w:val="auto"/>
        </w:rPr>
        <w:t xml:space="preserve">ash software was developed in a user-friendly way and was simple enough to use even for those with limited digital knowledge. This case demonstrated that the developers of the software found and understood the challenge faced by the stakeholders and developed a software, taking into consideration the environment and other requirements of the stakeholders which made this case a success. Thus, Mi Cash and Mi Bank mobile banking case is a success because they had found </w:t>
      </w:r>
      <w:proofErr w:type="spellStart"/>
      <w:proofErr w:type="gramStart"/>
      <w:r w:rsidR="00A12C9F">
        <w:rPr>
          <w:rStyle w:val="IntenseEmphasis"/>
          <w:i w:val="0"/>
          <w:iCs w:val="0"/>
          <w:color w:val="auto"/>
        </w:rPr>
        <w:t>a</w:t>
      </w:r>
      <w:proofErr w:type="spellEnd"/>
      <w:proofErr w:type="gramEnd"/>
      <w:r w:rsidR="00A12C9F">
        <w:rPr>
          <w:rStyle w:val="IntenseEmphasis"/>
          <w:i w:val="0"/>
          <w:iCs w:val="0"/>
          <w:color w:val="auto"/>
        </w:rPr>
        <w:t xml:space="preserve"> issue needed in the community and its requirements</w:t>
      </w:r>
      <w:r w:rsidR="0010386C">
        <w:rPr>
          <w:rStyle w:val="IntenseEmphasis"/>
          <w:i w:val="0"/>
          <w:iCs w:val="0"/>
          <w:color w:val="auto"/>
        </w:rPr>
        <w:t xml:space="preserve"> which made it a success. Additionally, PNG engineers should understand that this case was a success because the developers understood the challenge and its requirements of the stakeholders which made it a success.</w:t>
      </w:r>
    </w:p>
    <w:p w14:paraId="10C384B9" w14:textId="77777777" w:rsidR="00BD08E7" w:rsidRPr="00BD08E7" w:rsidRDefault="00BD08E7" w:rsidP="00627C71">
      <w:pPr>
        <w:rPr>
          <w:b/>
          <w:bCs/>
        </w:rPr>
      </w:pPr>
    </w:p>
    <w:p w14:paraId="06CCEB4A" w14:textId="77777777" w:rsidR="003C7B9F" w:rsidRDefault="003C7B9F" w:rsidP="00627C71"/>
    <w:p w14:paraId="6EBA1021" w14:textId="080F17E1" w:rsidR="003C7B9F" w:rsidRPr="00BD08E7" w:rsidRDefault="00BD08E7" w:rsidP="00627C71">
      <w:pPr>
        <w:rPr>
          <w:i/>
          <w:iCs/>
          <w:color w:val="4C94D8" w:themeColor="text2" w:themeTint="80"/>
          <w:u w:val="single"/>
        </w:rPr>
      </w:pPr>
      <w:r w:rsidRPr="00BD08E7">
        <w:rPr>
          <w:i/>
          <w:iCs/>
          <w:color w:val="4C94D8" w:themeColor="text2" w:themeTint="80"/>
          <w:u w:val="single"/>
        </w:rPr>
        <w:t>Reference</w:t>
      </w:r>
    </w:p>
    <w:p w14:paraId="74D250F1" w14:textId="59C9727F" w:rsidR="003C7B9F" w:rsidRDefault="00E206A8" w:rsidP="00627C71">
      <w:r>
        <w:t>Nationwide Microbank (MiBank) Limited</w:t>
      </w:r>
      <w:r w:rsidR="00A466A3">
        <w:t>.</w:t>
      </w:r>
      <w:r w:rsidR="00DC6B1E">
        <w:t xml:space="preserve"> </w:t>
      </w:r>
      <w:hyperlink r:id="rId10" w:history="1">
        <w:r w:rsidR="001C6B40" w:rsidRPr="001C6B40">
          <w:rPr>
            <w:rStyle w:val="Hyperlink"/>
          </w:rPr>
          <w:t>MiBank – Banking in Papua New Guinea</w:t>
        </w:r>
      </w:hyperlink>
    </w:p>
    <w:p w14:paraId="4535BB4B" w14:textId="03D29DA7" w:rsidR="002D1B63" w:rsidRDefault="00603F40" w:rsidP="00627C71">
      <w:r>
        <w:t xml:space="preserve">Sommerville, I. (2011). </w:t>
      </w:r>
      <w:r w:rsidR="002D1B63">
        <w:t>Software E</w:t>
      </w:r>
      <w:r>
        <w:t>ngineering 9</w:t>
      </w:r>
      <w:r w:rsidRPr="00603F40">
        <w:rPr>
          <w:vertAlign w:val="superscript"/>
        </w:rPr>
        <w:t>th</w:t>
      </w:r>
      <w:r>
        <w:t xml:space="preserve"> Edition.</w:t>
      </w:r>
    </w:p>
    <w:p>
      <w:r>
        <w:br w:type="page"/>
      </w:r>
    </w:p>
    <w:p>
      <w:pPr>
        <w:spacing w:after="80"/>
      </w:pPr>
      <w:r>
        <w:rPr>
          <w:rFonts w:ascii="Calibri" w:hAnsi="Calibri"/>
          <w:b/>
          <w:color w:val="2E74B5"/>
          <w:sz w:val="36"/>
        </w:rPr>
        <w:t>Marker feedback - Lab 1</w:t>
      </w:r>
    </w:p>
    <w:p>
      <w:pPr>
        <w:spacing w:after="160"/>
      </w:pPr>
      <w:r>
        <w:rPr>
          <w:rFonts w:ascii="Calibri" w:hAnsi="Calibri"/>
          <w:color w:val="666666"/>
          <w:sz w:val="20"/>
        </w:rPr>
        <w:t>Student(s): Sienna and Camillia  |  Case: MiCash / MiBank  |  Reviewed: 21 July 2026</w:t>
      </w:r>
    </w:p>
    <w:p>
      <w:pPr>
        <w:spacing w:after="160"/>
      </w:pPr>
      <w:r>
        <w:rPr>
          <w:rFonts w:ascii="Calibri" w:hAnsi="Calibri"/>
          <w:b/>
          <w:color w:val="1F4D78"/>
          <w:sz w:val="22"/>
        </w:rPr>
        <w:t xml:space="preserve">Formative outcome: </w:t>
      </w:r>
      <w:r>
        <w:rPr>
          <w:rFonts w:ascii="Calibri" w:hAnsi="Calibri"/>
          <w:b/>
          <w:color w:val="1F4D78"/>
          <w:sz w:val="22"/>
        </w:rPr>
        <w:t>Incomplete - revision required</w:t>
      </w:r>
      <w:r>
        <w:rPr>
          <w:rFonts w:ascii="Calibri" w:hAnsi="Calibri"/>
          <w:color w:val="000000"/>
          <w:sz w:val="22"/>
        </w:rPr>
        <w:t>. This activity is ungraded; the brief requires written feedback rather than a numerical mark.</w:t>
      </w:r>
    </w:p>
    <w:tbl>
      <w:tblPr>
        <w:tblW w:type="dxa" w:w="9026"/>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400"/>
        <w:gridCol w:w="6626"/>
      </w:tblGrid>
      <w:tr>
        <w:trPr>
          <w:tblHeader w:val="true"/>
        </w:trPr>
        <w:tc>
          <w:tcPr>
            <w:tcW w:type="dxa" w:w="2400"/>
            <w:shd w:fill="E8EEF5"/>
            <w:tcMar>
              <w:top w:w="80" w:type="dxa"/>
              <w:start w:w="120" w:type="dxa"/>
              <w:bottom w:w="80" w:type="dxa"/>
              <w:end w:w="120" w:type="dxa"/>
            </w:tcMar>
            <w:vAlign w:val="center"/>
          </w:tcPr>
          <w:p>
            <w:pPr>
              <w:spacing w:before="0" w:after="40" w:line="264" w:lineRule="auto"/>
            </w:pPr>
            <w:r>
              <w:rPr>
                <w:rFonts w:ascii="Calibri" w:hAnsi="Calibri"/>
                <w:b/>
                <w:color w:val="1F4D78"/>
                <w:sz w:val="21"/>
              </w:rPr>
              <w:t>Criterion</w:t>
            </w:r>
          </w:p>
        </w:tc>
        <w:tc>
          <w:tcPr>
            <w:tcW w:type="dxa" w:w="6626"/>
            <w:shd w:fill="E8EEF5"/>
            <w:tcMar>
              <w:top w:w="80" w:type="dxa"/>
              <w:start w:w="120" w:type="dxa"/>
              <w:bottom w:w="80" w:type="dxa"/>
              <w:end w:w="120" w:type="dxa"/>
            </w:tcMar>
            <w:vAlign w:val="center"/>
          </w:tcPr>
          <w:p>
            <w:pPr>
              <w:spacing w:before="0" w:after="40" w:line="264" w:lineRule="auto"/>
            </w:pPr>
            <w:r>
              <w:rPr>
                <w:rFonts w:ascii="Calibri" w:hAnsi="Calibri"/>
                <w:b/>
                <w:color w:val="1F4D78"/>
                <w:sz w:val="21"/>
              </w:rPr>
              <w:t>Formative judgment and feedback</w:t>
            </w:r>
          </w:p>
        </w:tc>
      </w:tr>
      <w:tr>
        <w:tc>
          <w:tcPr>
            <w:tcW w:type="dxa" w:w="2400"/>
            <w:shd w:fill="FFF2CC"/>
            <w:tcMar>
              <w:top w:w="80" w:type="dxa"/>
              <w:start w:w="120" w:type="dxa"/>
              <w:bottom w:w="80" w:type="dxa"/>
              <w:end w:w="120" w:type="dxa"/>
            </w:tcMar>
            <w:vAlign w:val="center"/>
          </w:tcPr>
          <w:p>
            <w:pPr>
              <w:spacing w:before="0" w:after="40" w:line="264" w:lineRule="auto"/>
            </w:pPr>
            <w:r>
              <w:rPr>
                <w:rFonts w:ascii="Calibri" w:hAnsi="Calibri"/>
                <w:b/>
                <w:color w:val="000000"/>
                <w:sz w:val="20"/>
              </w:rPr>
              <w:t>Q1: Scope and stakeholders</w:t>
            </w:r>
          </w:p>
        </w:tc>
        <w:tc>
          <w:tcPr>
            <w:tcW w:type="dxa" w:w="6626"/>
            <w:tcMar>
              <w:top w:w="80" w:type="dxa"/>
              <w:start w:w="120" w:type="dxa"/>
              <w:bottom w:w="80" w:type="dxa"/>
              <w:end w:w="120" w:type="dxa"/>
            </w:tcMar>
            <w:vAlign w:val="center"/>
          </w:tcPr>
          <w:p>
            <w:pPr>
              <w:spacing w:before="0" w:after="40" w:line="264" w:lineRule="auto"/>
            </w:pPr>
            <w:r>
              <w:rPr>
                <w:rFonts w:ascii="Calibri" w:hAnsi="Calibri"/>
                <w:b/>
                <w:color w:val="1F4D78"/>
                <w:sz w:val="20"/>
              </w:rPr>
              <w:t xml:space="preserve">Partly satisfactory: </w:t>
            </w:r>
            <w:r>
              <w:rPr>
                <w:rFonts w:ascii="Calibri" w:hAnsi="Calibri"/>
                <w:color w:val="000000"/>
                <w:sz w:val="20"/>
              </w:rPr>
              <w:t>The rural-user benefit is clear, but identify all key stakeholders and state the mobile wallet's specific functions more precisely.</w:t>
            </w:r>
          </w:p>
        </w:tc>
      </w:tr>
      <w:tr>
        <w:tc>
          <w:tcPr>
            <w:tcW w:type="dxa" w:w="2400"/>
            <w:shd w:fill="FFF2CC"/>
            <w:tcMar>
              <w:top w:w="80" w:type="dxa"/>
              <w:start w:w="120" w:type="dxa"/>
              <w:bottom w:w="80" w:type="dxa"/>
              <w:end w:w="120" w:type="dxa"/>
            </w:tcMar>
            <w:vAlign w:val="center"/>
          </w:tcPr>
          <w:p>
            <w:pPr>
              <w:spacing w:before="0" w:after="40" w:line="264" w:lineRule="auto"/>
            </w:pPr>
            <w:r>
              <w:rPr>
                <w:rFonts w:ascii="Calibri" w:hAnsi="Calibri"/>
                <w:b/>
                <w:color w:val="000000"/>
                <w:sz w:val="20"/>
              </w:rPr>
              <w:t>Q2: Timeline and evidence</w:t>
            </w:r>
          </w:p>
        </w:tc>
        <w:tc>
          <w:tcPr>
            <w:tcW w:type="dxa" w:w="6626"/>
            <w:tcMar>
              <w:top w:w="80" w:type="dxa"/>
              <w:start w:w="120" w:type="dxa"/>
              <w:bottom w:w="80" w:type="dxa"/>
              <w:end w:w="120" w:type="dxa"/>
            </w:tcMar>
            <w:vAlign w:val="center"/>
          </w:tcPr>
          <w:p>
            <w:pPr>
              <w:spacing w:before="0" w:after="40" w:line="264" w:lineRule="auto"/>
            </w:pPr>
            <w:r>
              <w:rPr>
                <w:rFonts w:ascii="Calibri" w:hAnsi="Calibri"/>
                <w:b/>
                <w:color w:val="1F4D78"/>
                <w:sz w:val="20"/>
              </w:rPr>
              <w:t xml:space="preserve">Partly satisfactory: </w:t>
            </w:r>
            <w:r>
              <w:rPr>
                <w:rFonts w:ascii="Calibri" w:hAnsi="Calibri"/>
                <w:color w:val="000000"/>
                <w:sz w:val="20"/>
              </w:rPr>
              <w:t>The timeline mainly describes MiBank's institutional history. Add evidence about MiCash development, launch, basic-phone design, adoption, and results.</w:t>
            </w:r>
          </w:p>
        </w:tc>
      </w:tr>
      <w:tr>
        <w:tc>
          <w:tcPr>
            <w:tcW w:type="dxa" w:w="2400"/>
            <w:shd w:fill="FCE4D6"/>
            <w:tcMar>
              <w:top w:w="80" w:type="dxa"/>
              <w:start w:w="120" w:type="dxa"/>
              <w:bottom w:w="80" w:type="dxa"/>
              <w:end w:w="120" w:type="dxa"/>
            </w:tcMar>
            <w:vAlign w:val="center"/>
          </w:tcPr>
          <w:p>
            <w:pPr>
              <w:spacing w:before="0" w:after="40" w:line="264" w:lineRule="auto"/>
            </w:pPr>
            <w:r>
              <w:rPr>
                <w:rFonts w:ascii="Calibri" w:hAnsi="Calibri"/>
                <w:b/>
                <w:color w:val="000000"/>
                <w:sz w:val="20"/>
              </w:rPr>
              <w:t>Q3: Process activities</w:t>
            </w:r>
          </w:p>
        </w:tc>
        <w:tc>
          <w:tcPr>
            <w:tcW w:type="dxa" w:w="6626"/>
            <w:tcMar>
              <w:top w:w="80" w:type="dxa"/>
              <w:start w:w="120" w:type="dxa"/>
              <w:bottom w:w="80" w:type="dxa"/>
              <w:end w:w="120" w:type="dxa"/>
            </w:tcMar>
            <w:vAlign w:val="center"/>
          </w:tcPr>
          <w:p>
            <w:pPr>
              <w:spacing w:before="0" w:after="40" w:line="264" w:lineRule="auto"/>
            </w:pPr>
            <w:r>
              <w:rPr>
                <w:rFonts w:ascii="Calibri" w:hAnsi="Calibri"/>
                <w:b/>
                <w:color w:val="1F4D78"/>
                <w:sz w:val="20"/>
              </w:rPr>
              <w:t xml:space="preserve">Needs revision: </w:t>
            </w:r>
            <w:r>
              <w:rPr>
                <w:rFonts w:ascii="Calibri" w:hAnsi="Calibri"/>
                <w:color w:val="000000"/>
                <w:sz w:val="20"/>
              </w:rPr>
              <w:t>The four activities are not analysed. Explain how specification, development, validation, and evolution contributed to the success.</w:t>
            </w:r>
          </w:p>
        </w:tc>
      </w:tr>
      <w:tr>
        <w:tc>
          <w:tcPr>
            <w:tcW w:type="dxa" w:w="2400"/>
            <w:shd w:fill="FFF2CC"/>
            <w:tcMar>
              <w:top w:w="80" w:type="dxa"/>
              <w:start w:w="120" w:type="dxa"/>
              <w:bottom w:w="80" w:type="dxa"/>
              <w:end w:w="120" w:type="dxa"/>
            </w:tcMar>
            <w:vAlign w:val="center"/>
          </w:tcPr>
          <w:p>
            <w:pPr>
              <w:spacing w:before="0" w:after="40" w:line="264" w:lineRule="auto"/>
            </w:pPr>
            <w:r>
              <w:rPr>
                <w:rFonts w:ascii="Calibri" w:hAnsi="Calibri"/>
                <w:b/>
                <w:color w:val="000000"/>
                <w:sz w:val="20"/>
              </w:rPr>
              <w:t>Q4: Software attributes</w:t>
            </w:r>
          </w:p>
        </w:tc>
        <w:tc>
          <w:tcPr>
            <w:tcW w:type="dxa" w:w="6626"/>
            <w:tcMar>
              <w:top w:w="80" w:type="dxa"/>
              <w:start w:w="120" w:type="dxa"/>
              <w:bottom w:w="80" w:type="dxa"/>
              <w:end w:w="120" w:type="dxa"/>
            </w:tcMar>
            <w:vAlign w:val="center"/>
          </w:tcPr>
          <w:p>
            <w:pPr>
              <w:spacing w:before="0" w:after="40" w:line="264" w:lineRule="auto"/>
            </w:pPr>
            <w:r>
              <w:rPr>
                <w:rFonts w:ascii="Calibri" w:hAnsi="Calibri"/>
                <w:b/>
                <w:color w:val="1F4D78"/>
                <w:sz w:val="20"/>
              </w:rPr>
              <w:t xml:space="preserve">Partly satisfactory: </w:t>
            </w:r>
            <w:r>
              <w:rPr>
                <w:rFonts w:ascii="Calibri" w:hAnsi="Calibri"/>
                <w:color w:val="000000"/>
                <w:sz w:val="20"/>
              </w:rPr>
              <w:t>All four attributes are mentioned, but claims about security, reliability, and maintainability need evidence rather than absence of reported problems.</w:t>
            </w:r>
          </w:p>
        </w:tc>
      </w:tr>
      <w:tr>
        <w:tc>
          <w:tcPr>
            <w:tcW w:type="dxa" w:w="2400"/>
            <w:shd w:fill="FCE4D6"/>
            <w:tcMar>
              <w:top w:w="80" w:type="dxa"/>
              <w:start w:w="120" w:type="dxa"/>
              <w:bottom w:w="80" w:type="dxa"/>
              <w:end w:w="120" w:type="dxa"/>
            </w:tcMar>
            <w:vAlign w:val="center"/>
          </w:tcPr>
          <w:p>
            <w:pPr>
              <w:spacing w:before="0" w:after="40" w:line="264" w:lineRule="auto"/>
            </w:pPr>
            <w:r>
              <w:rPr>
                <w:rFonts w:ascii="Calibri" w:hAnsi="Calibri"/>
                <w:b/>
                <w:color w:val="000000"/>
                <w:sz w:val="20"/>
              </w:rPr>
              <w:t>Q5: Two practices</w:t>
            </w:r>
          </w:p>
        </w:tc>
        <w:tc>
          <w:tcPr>
            <w:tcW w:type="dxa" w:w="6626"/>
            <w:tcMar>
              <w:top w:w="80" w:type="dxa"/>
              <w:start w:w="120" w:type="dxa"/>
              <w:bottom w:w="80" w:type="dxa"/>
              <w:end w:w="120" w:type="dxa"/>
            </w:tcMar>
            <w:vAlign w:val="center"/>
          </w:tcPr>
          <w:p>
            <w:pPr>
              <w:spacing w:before="0" w:after="40" w:line="264" w:lineRule="auto"/>
            </w:pPr>
            <w:r>
              <w:rPr>
                <w:rFonts w:ascii="Calibri" w:hAnsi="Calibri"/>
                <w:b/>
                <w:color w:val="1F4D78"/>
                <w:sz w:val="20"/>
              </w:rPr>
              <w:t xml:space="preserve">Not evidenced: </w:t>
            </w:r>
            <w:r>
              <w:rPr>
                <w:rFonts w:ascii="Calibri" w:hAnsi="Calibri"/>
                <w:color w:val="000000"/>
                <w:sz w:val="20"/>
              </w:rPr>
              <w:t>Two software engineering practices are not named and justified. For example, analyse user-centred requirements and iterative field testing.</w:t>
            </w:r>
          </w:p>
        </w:tc>
      </w:tr>
      <w:tr>
        <w:tc>
          <w:tcPr>
            <w:tcW w:type="dxa" w:w="2400"/>
            <w:shd w:fill="E2F0D9"/>
            <w:tcMar>
              <w:top w:w="80" w:type="dxa"/>
              <w:start w:w="120" w:type="dxa"/>
              <w:bottom w:w="80" w:type="dxa"/>
              <w:end w:w="120" w:type="dxa"/>
            </w:tcMar>
            <w:vAlign w:val="center"/>
          </w:tcPr>
          <w:p>
            <w:pPr>
              <w:spacing w:before="0" w:after="40" w:line="264" w:lineRule="auto"/>
            </w:pPr>
            <w:r>
              <w:rPr>
                <w:rFonts w:ascii="Calibri" w:hAnsi="Calibri"/>
                <w:b/>
                <w:color w:val="000000"/>
                <w:sz w:val="20"/>
              </w:rPr>
              <w:t>Q6: PNG lens</w:t>
            </w:r>
          </w:p>
        </w:tc>
        <w:tc>
          <w:tcPr>
            <w:tcW w:type="dxa" w:w="6626"/>
            <w:tcMar>
              <w:top w:w="80" w:type="dxa"/>
              <w:start w:w="120" w:type="dxa"/>
              <w:bottom w:w="80" w:type="dxa"/>
              <w:end w:w="120" w:type="dxa"/>
            </w:tcMar>
            <w:vAlign w:val="center"/>
          </w:tcPr>
          <w:p>
            <w:pPr>
              <w:spacing w:before="0" w:after="40" w:line="264" w:lineRule="auto"/>
            </w:pPr>
            <w:r>
              <w:rPr>
                <w:rFonts w:ascii="Calibri" w:hAnsi="Calibri"/>
                <w:b/>
                <w:color w:val="1F4D78"/>
                <w:sz w:val="20"/>
              </w:rPr>
              <w:t xml:space="preserve">Satisfactory: </w:t>
            </w:r>
            <w:r>
              <w:rPr>
                <w:rFonts w:ascii="Calibri" w:hAnsi="Calibri"/>
                <w:color w:val="000000"/>
                <w:sz w:val="20"/>
              </w:rPr>
              <w:t>The answer correctly emphasizes understanding rural users, local conditions, and low digital literacy, although it could be less repetitive.</w:t>
            </w:r>
          </w:p>
        </w:tc>
      </w:tr>
      <w:tr>
        <w:tc>
          <w:tcPr>
            <w:tcW w:type="dxa" w:w="2400"/>
            <w:shd w:fill="FFF2CC"/>
            <w:tcMar>
              <w:top w:w="80" w:type="dxa"/>
              <w:start w:w="120" w:type="dxa"/>
              <w:bottom w:w="80" w:type="dxa"/>
              <w:end w:w="120" w:type="dxa"/>
            </w:tcMar>
            <w:vAlign w:val="center"/>
          </w:tcPr>
          <w:p>
            <w:pPr>
              <w:spacing w:before="0" w:after="40" w:line="264" w:lineRule="auto"/>
            </w:pPr>
            <w:r>
              <w:rPr>
                <w:rFonts w:ascii="Calibri" w:hAnsi="Calibri"/>
                <w:b/>
                <w:color w:val="000000"/>
                <w:sz w:val="20"/>
              </w:rPr>
              <w:t>Sources</w:t>
            </w:r>
          </w:p>
        </w:tc>
        <w:tc>
          <w:tcPr>
            <w:tcW w:type="dxa" w:w="6626"/>
            <w:tcMar>
              <w:top w:w="80" w:type="dxa"/>
              <w:start w:w="120" w:type="dxa"/>
              <w:bottom w:w="80" w:type="dxa"/>
              <w:end w:w="120" w:type="dxa"/>
            </w:tcMar>
            <w:vAlign w:val="center"/>
          </w:tcPr>
          <w:p>
            <w:pPr>
              <w:spacing w:before="0" w:after="40" w:line="264" w:lineRule="auto"/>
            </w:pPr>
            <w:r>
              <w:rPr>
                <w:rFonts w:ascii="Calibri" w:hAnsi="Calibri"/>
                <w:b/>
                <w:color w:val="1F4D78"/>
                <w:sz w:val="20"/>
              </w:rPr>
              <w:t xml:space="preserve">Partly satisfactory: </w:t>
            </w:r>
            <w:r>
              <w:rPr>
                <w:rFonts w:ascii="Calibri" w:hAnsi="Calibri"/>
                <w:color w:val="000000"/>
                <w:sz w:val="20"/>
              </w:rPr>
              <w:t>Two items are listed, but only one is case evidence. Add at least one more independent case source and provide complete details.</w:t>
            </w:r>
          </w:p>
        </w:tc>
      </w:tr>
      <w:tr>
        <w:tc>
          <w:tcPr>
            <w:tcW w:type="dxa" w:w="2400"/>
            <w:shd w:fill="FCE4D6"/>
            <w:tcMar>
              <w:top w:w="80" w:type="dxa"/>
              <w:start w:w="120" w:type="dxa"/>
              <w:bottom w:w="80" w:type="dxa"/>
              <w:end w:w="120" w:type="dxa"/>
            </w:tcMar>
            <w:vAlign w:val="center"/>
          </w:tcPr>
          <w:p>
            <w:pPr>
              <w:spacing w:before="0" w:after="40" w:line="264" w:lineRule="auto"/>
            </w:pPr>
            <w:r>
              <w:rPr>
                <w:rFonts w:ascii="Calibri" w:hAnsi="Calibri"/>
                <w:b/>
                <w:color w:val="000000"/>
                <w:sz w:val="20"/>
              </w:rPr>
              <w:t>AI-use declaration</w:t>
            </w:r>
          </w:p>
        </w:tc>
        <w:tc>
          <w:tcPr>
            <w:tcW w:type="dxa" w:w="6626"/>
            <w:tcMar>
              <w:top w:w="80" w:type="dxa"/>
              <w:start w:w="120" w:type="dxa"/>
              <w:bottom w:w="80" w:type="dxa"/>
              <w:end w:w="120" w:type="dxa"/>
            </w:tcMar>
            <w:vAlign w:val="center"/>
          </w:tcPr>
          <w:p>
            <w:pPr>
              <w:spacing w:before="0" w:after="40" w:line="264" w:lineRule="auto"/>
            </w:pPr>
            <w:r>
              <w:rPr>
                <w:rFonts w:ascii="Calibri" w:hAnsi="Calibri"/>
                <w:b/>
                <w:color w:val="1F4D78"/>
                <w:sz w:val="20"/>
              </w:rPr>
              <w:t xml:space="preserve">Not stated: </w:t>
            </w:r>
            <w:r>
              <w:rPr>
                <w:rFonts w:ascii="Calibri" w:hAnsi="Calibri"/>
                <w:color w:val="000000"/>
                <w:sz w:val="20"/>
              </w:rPr>
              <w:t>Add a one-line declaration only if AI was used.</w:t>
            </w:r>
          </w:p>
        </w:tc>
      </w:tr>
    </w:tbl>
    <w:p>
      <w:pPr>
        <w:spacing w:before="160" w:after="40"/>
      </w:pPr>
      <w:r>
        <w:rPr>
          <w:rFonts w:ascii="Calibri" w:hAnsi="Calibri"/>
          <w:b/>
          <w:color w:val="2E74B5"/>
          <w:sz w:val="24"/>
        </w:rPr>
        <w:t>Strengths</w:t>
      </w:r>
    </w:p>
    <w:p>
      <w:pPr>
        <w:spacing w:after="120"/>
      </w:pPr>
      <w:r>
        <w:rPr>
          <w:rFonts w:ascii="Calibri" w:hAnsi="Calibri"/>
          <w:color w:val="000000"/>
          <w:sz w:val="22"/>
        </w:rPr>
        <w:t>A relevant PNG success case with a good focus on rural usability and context fit.</w:t>
      </w:r>
    </w:p>
    <w:p>
      <w:pPr>
        <w:spacing w:after="40"/>
      </w:pPr>
      <w:r>
        <w:rPr>
          <w:rFonts w:ascii="Calibri" w:hAnsi="Calibri"/>
          <w:b/>
          <w:color w:val="2E74B5"/>
          <w:sz w:val="24"/>
        </w:rPr>
        <w:t>Next action</w:t>
      </w:r>
    </w:p>
    <w:p>
      <w:pPr>
        <w:spacing w:after="120"/>
      </w:pPr>
      <w:r>
        <w:rPr>
          <w:rFonts w:ascii="Calibri" w:hAnsi="Calibri"/>
          <w:color w:val="000000"/>
          <w:sz w:val="22"/>
        </w:rPr>
        <w:t>Complete the four-process analysis, name and justify two practices, and strengthen the case evidence and references.</w:t>
      </w:r>
    </w:p>
    <w:sectPr w:rsidR="002D1B63">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F497E" w14:textId="77777777" w:rsidR="00601BA5" w:rsidRDefault="00601BA5" w:rsidP="00147BE0">
      <w:pPr>
        <w:spacing w:after="0" w:line="240" w:lineRule="auto"/>
      </w:pPr>
      <w:r>
        <w:separator/>
      </w:r>
    </w:p>
  </w:endnote>
  <w:endnote w:type="continuationSeparator" w:id="0">
    <w:p w14:paraId="2C843D9B" w14:textId="77777777" w:rsidR="00601BA5" w:rsidRDefault="00601BA5" w:rsidP="00147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0AB2" w14:textId="7F59229C" w:rsidR="00BD08E7" w:rsidRPr="00BD08E7" w:rsidRDefault="00BD08E7">
    <w:pPr>
      <w:pStyle w:val="Footer"/>
    </w:pPr>
    <w:r>
      <w:t>By Sienna and Camillia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A64A9" w14:textId="77777777" w:rsidR="00601BA5" w:rsidRDefault="00601BA5" w:rsidP="00147BE0">
      <w:pPr>
        <w:spacing w:after="0" w:line="240" w:lineRule="auto"/>
      </w:pPr>
      <w:r>
        <w:separator/>
      </w:r>
    </w:p>
  </w:footnote>
  <w:footnote w:type="continuationSeparator" w:id="0">
    <w:p w14:paraId="26BEFD57" w14:textId="77777777" w:rsidR="00601BA5" w:rsidRDefault="00601BA5" w:rsidP="00147B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085D1" w14:textId="234A8D53" w:rsidR="00BD08E7" w:rsidRDefault="00BD08E7">
    <w:pPr>
      <w:pStyle w:val="Header"/>
    </w:pPr>
    <w:r>
      <w:rPr>
        <w:b/>
        <w:bCs/>
        <w:noProof/>
        <w:sz w:val="28"/>
        <w:szCs w:val="28"/>
      </w:rPr>
      <w:drawing>
        <wp:inline distT="0" distB="0" distL="0" distR="0" wp14:anchorId="2D7C979B" wp14:editId="40FADF99">
          <wp:extent cx="1177270" cy="1045029"/>
          <wp:effectExtent l="0" t="0" r="4445" b="3175"/>
          <wp:docPr id="13499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0856"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9084" cy="1055516"/>
                  </a:xfrm>
                  <a:prstGeom prst="rect">
                    <a:avLst/>
                  </a:prstGeom>
                </pic:spPr>
              </pic:pic>
            </a:graphicData>
          </a:graphic>
        </wp:inline>
      </w:drawing>
    </w:r>
    <w:r>
      <w:t>CMN224: Software Development</w:t>
    </w:r>
  </w:p>
  <w:p w14:paraId="219E9837" w14:textId="77777777" w:rsidR="00BD08E7" w:rsidRDefault="00BD08E7">
    <w:pPr>
      <w:pStyle w:val="Header"/>
    </w:pPr>
  </w:p>
  <w:p w14:paraId="71823C12" w14:textId="5AF6AF40" w:rsidR="00BD08E7" w:rsidRPr="00BD08E7" w:rsidRDefault="00BD08E7" w:rsidP="00BD08E7">
    <w:pPr>
      <w:pStyle w:val="Header"/>
    </w:pPr>
    <w:r>
      <w:t xml:space="preserve">                                      Lab 1: Software Success and Failure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D2C02"/>
    <w:multiLevelType w:val="hybridMultilevel"/>
    <w:tmpl w:val="13E8E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F13600"/>
    <w:multiLevelType w:val="hybridMultilevel"/>
    <w:tmpl w:val="18105B8E"/>
    <w:lvl w:ilvl="0" w:tplc="A1A271C6">
      <w:start w:val="1"/>
      <w:numFmt w:val="decimal"/>
      <w:lvlText w:val="%1."/>
      <w:lvlJc w:val="left"/>
      <w:pPr>
        <w:ind w:left="405" w:hanging="360"/>
      </w:pPr>
      <w:rPr>
        <w:rFonts w:hint="default"/>
      </w:rPr>
    </w:lvl>
    <w:lvl w:ilvl="1" w:tplc="20000019" w:tentative="1">
      <w:start w:val="1"/>
      <w:numFmt w:val="lowerLetter"/>
      <w:lvlText w:val="%2."/>
      <w:lvlJc w:val="left"/>
      <w:pPr>
        <w:ind w:left="1125" w:hanging="360"/>
      </w:pPr>
    </w:lvl>
    <w:lvl w:ilvl="2" w:tplc="2000001B" w:tentative="1">
      <w:start w:val="1"/>
      <w:numFmt w:val="lowerRoman"/>
      <w:lvlText w:val="%3."/>
      <w:lvlJc w:val="right"/>
      <w:pPr>
        <w:ind w:left="1845" w:hanging="180"/>
      </w:pPr>
    </w:lvl>
    <w:lvl w:ilvl="3" w:tplc="2000000F" w:tentative="1">
      <w:start w:val="1"/>
      <w:numFmt w:val="decimal"/>
      <w:lvlText w:val="%4."/>
      <w:lvlJc w:val="left"/>
      <w:pPr>
        <w:ind w:left="2565" w:hanging="360"/>
      </w:pPr>
    </w:lvl>
    <w:lvl w:ilvl="4" w:tplc="20000019" w:tentative="1">
      <w:start w:val="1"/>
      <w:numFmt w:val="lowerLetter"/>
      <w:lvlText w:val="%5."/>
      <w:lvlJc w:val="left"/>
      <w:pPr>
        <w:ind w:left="3285" w:hanging="360"/>
      </w:pPr>
    </w:lvl>
    <w:lvl w:ilvl="5" w:tplc="2000001B" w:tentative="1">
      <w:start w:val="1"/>
      <w:numFmt w:val="lowerRoman"/>
      <w:lvlText w:val="%6."/>
      <w:lvlJc w:val="right"/>
      <w:pPr>
        <w:ind w:left="4005" w:hanging="180"/>
      </w:pPr>
    </w:lvl>
    <w:lvl w:ilvl="6" w:tplc="2000000F" w:tentative="1">
      <w:start w:val="1"/>
      <w:numFmt w:val="decimal"/>
      <w:lvlText w:val="%7."/>
      <w:lvlJc w:val="left"/>
      <w:pPr>
        <w:ind w:left="4725" w:hanging="360"/>
      </w:pPr>
    </w:lvl>
    <w:lvl w:ilvl="7" w:tplc="20000019" w:tentative="1">
      <w:start w:val="1"/>
      <w:numFmt w:val="lowerLetter"/>
      <w:lvlText w:val="%8."/>
      <w:lvlJc w:val="left"/>
      <w:pPr>
        <w:ind w:left="5445" w:hanging="360"/>
      </w:pPr>
    </w:lvl>
    <w:lvl w:ilvl="8" w:tplc="2000001B" w:tentative="1">
      <w:start w:val="1"/>
      <w:numFmt w:val="lowerRoman"/>
      <w:lvlText w:val="%9."/>
      <w:lvlJc w:val="right"/>
      <w:pPr>
        <w:ind w:left="6165" w:hanging="180"/>
      </w:pPr>
    </w:lvl>
  </w:abstractNum>
  <w:abstractNum w:abstractNumId="2" w15:restartNumberingAfterBreak="0">
    <w:nsid w:val="4A584A98"/>
    <w:multiLevelType w:val="hybridMultilevel"/>
    <w:tmpl w:val="E8BC1A78"/>
    <w:lvl w:ilvl="0" w:tplc="E83CD076">
      <w:start w:val="3"/>
      <w:numFmt w:val="decimal"/>
      <w:lvlText w:val="%1."/>
      <w:lvlJc w:val="left"/>
      <w:pPr>
        <w:ind w:left="405" w:hanging="360"/>
      </w:pPr>
      <w:rPr>
        <w:rFonts w:hint="default"/>
      </w:rPr>
    </w:lvl>
    <w:lvl w:ilvl="1" w:tplc="20000019" w:tentative="1">
      <w:start w:val="1"/>
      <w:numFmt w:val="lowerLetter"/>
      <w:lvlText w:val="%2."/>
      <w:lvlJc w:val="left"/>
      <w:pPr>
        <w:ind w:left="1125" w:hanging="360"/>
      </w:pPr>
    </w:lvl>
    <w:lvl w:ilvl="2" w:tplc="2000001B" w:tentative="1">
      <w:start w:val="1"/>
      <w:numFmt w:val="lowerRoman"/>
      <w:lvlText w:val="%3."/>
      <w:lvlJc w:val="right"/>
      <w:pPr>
        <w:ind w:left="1845" w:hanging="180"/>
      </w:pPr>
    </w:lvl>
    <w:lvl w:ilvl="3" w:tplc="2000000F" w:tentative="1">
      <w:start w:val="1"/>
      <w:numFmt w:val="decimal"/>
      <w:lvlText w:val="%4."/>
      <w:lvlJc w:val="left"/>
      <w:pPr>
        <w:ind w:left="2565" w:hanging="360"/>
      </w:pPr>
    </w:lvl>
    <w:lvl w:ilvl="4" w:tplc="20000019" w:tentative="1">
      <w:start w:val="1"/>
      <w:numFmt w:val="lowerLetter"/>
      <w:lvlText w:val="%5."/>
      <w:lvlJc w:val="left"/>
      <w:pPr>
        <w:ind w:left="3285" w:hanging="360"/>
      </w:pPr>
    </w:lvl>
    <w:lvl w:ilvl="5" w:tplc="2000001B" w:tentative="1">
      <w:start w:val="1"/>
      <w:numFmt w:val="lowerRoman"/>
      <w:lvlText w:val="%6."/>
      <w:lvlJc w:val="right"/>
      <w:pPr>
        <w:ind w:left="4005" w:hanging="180"/>
      </w:pPr>
    </w:lvl>
    <w:lvl w:ilvl="6" w:tplc="2000000F" w:tentative="1">
      <w:start w:val="1"/>
      <w:numFmt w:val="decimal"/>
      <w:lvlText w:val="%7."/>
      <w:lvlJc w:val="left"/>
      <w:pPr>
        <w:ind w:left="4725" w:hanging="360"/>
      </w:pPr>
    </w:lvl>
    <w:lvl w:ilvl="7" w:tplc="20000019" w:tentative="1">
      <w:start w:val="1"/>
      <w:numFmt w:val="lowerLetter"/>
      <w:lvlText w:val="%8."/>
      <w:lvlJc w:val="left"/>
      <w:pPr>
        <w:ind w:left="5445" w:hanging="360"/>
      </w:pPr>
    </w:lvl>
    <w:lvl w:ilvl="8" w:tplc="2000001B" w:tentative="1">
      <w:start w:val="1"/>
      <w:numFmt w:val="lowerRoman"/>
      <w:lvlText w:val="%9."/>
      <w:lvlJc w:val="right"/>
      <w:pPr>
        <w:ind w:left="6165" w:hanging="180"/>
      </w:pPr>
    </w:lvl>
  </w:abstractNum>
  <w:abstractNum w:abstractNumId="3" w15:restartNumberingAfterBreak="0">
    <w:nsid w:val="63F21299"/>
    <w:multiLevelType w:val="hybridMultilevel"/>
    <w:tmpl w:val="2EE2164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17513786">
    <w:abstractNumId w:val="1"/>
  </w:num>
  <w:num w:numId="2" w16cid:durableId="1005983250">
    <w:abstractNumId w:val="2"/>
  </w:num>
  <w:num w:numId="3" w16cid:durableId="1276329384">
    <w:abstractNumId w:val="3"/>
  </w:num>
  <w:num w:numId="4" w16cid:durableId="1999111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384"/>
    <w:rsid w:val="0006285D"/>
    <w:rsid w:val="000E662C"/>
    <w:rsid w:val="0010386C"/>
    <w:rsid w:val="00125048"/>
    <w:rsid w:val="00147BE0"/>
    <w:rsid w:val="00197639"/>
    <w:rsid w:val="001C6B40"/>
    <w:rsid w:val="002947C2"/>
    <w:rsid w:val="002D1B63"/>
    <w:rsid w:val="003C7B9F"/>
    <w:rsid w:val="003E74E4"/>
    <w:rsid w:val="005A4805"/>
    <w:rsid w:val="00601BA5"/>
    <w:rsid w:val="00603F40"/>
    <w:rsid w:val="00625F42"/>
    <w:rsid w:val="00627C71"/>
    <w:rsid w:val="00644FA7"/>
    <w:rsid w:val="00705A1C"/>
    <w:rsid w:val="008844F4"/>
    <w:rsid w:val="008E69D5"/>
    <w:rsid w:val="00A022A3"/>
    <w:rsid w:val="00A12C9F"/>
    <w:rsid w:val="00A466A3"/>
    <w:rsid w:val="00A70DA7"/>
    <w:rsid w:val="00B62D7D"/>
    <w:rsid w:val="00BD08E7"/>
    <w:rsid w:val="00CA4BF4"/>
    <w:rsid w:val="00D9094C"/>
    <w:rsid w:val="00DC6B1E"/>
    <w:rsid w:val="00E206A8"/>
    <w:rsid w:val="00E77367"/>
    <w:rsid w:val="00EB1384"/>
    <w:rsid w:val="00FB32EF"/>
    <w:rsid w:val="00FF4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C6FC5"/>
  <w15:chartTrackingRefBased/>
  <w15:docId w15:val="{8001574A-ED05-4D2C-BD9F-6FBFE9530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384"/>
    <w:rPr>
      <w:rFonts w:eastAsiaTheme="majorEastAsia" w:cstheme="majorBidi"/>
      <w:color w:val="272727" w:themeColor="text1" w:themeTint="D8"/>
    </w:rPr>
  </w:style>
  <w:style w:type="paragraph" w:styleId="Title">
    <w:name w:val="Title"/>
    <w:basedOn w:val="Normal"/>
    <w:next w:val="Normal"/>
    <w:link w:val="TitleChar"/>
    <w:uiPriority w:val="10"/>
    <w:qFormat/>
    <w:rsid w:val="00EB1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384"/>
    <w:pPr>
      <w:spacing w:before="160"/>
      <w:jc w:val="center"/>
    </w:pPr>
    <w:rPr>
      <w:i/>
      <w:iCs/>
      <w:color w:val="404040" w:themeColor="text1" w:themeTint="BF"/>
    </w:rPr>
  </w:style>
  <w:style w:type="character" w:customStyle="1" w:styleId="QuoteChar">
    <w:name w:val="Quote Char"/>
    <w:basedOn w:val="DefaultParagraphFont"/>
    <w:link w:val="Quote"/>
    <w:uiPriority w:val="29"/>
    <w:rsid w:val="00EB1384"/>
    <w:rPr>
      <w:i/>
      <w:iCs/>
      <w:color w:val="404040" w:themeColor="text1" w:themeTint="BF"/>
    </w:rPr>
  </w:style>
  <w:style w:type="paragraph" w:styleId="ListParagraph">
    <w:name w:val="List Paragraph"/>
    <w:basedOn w:val="Normal"/>
    <w:uiPriority w:val="34"/>
    <w:qFormat/>
    <w:rsid w:val="00EB1384"/>
    <w:pPr>
      <w:ind w:left="720"/>
      <w:contextualSpacing/>
    </w:pPr>
  </w:style>
  <w:style w:type="character" w:styleId="IntenseEmphasis">
    <w:name w:val="Intense Emphasis"/>
    <w:basedOn w:val="DefaultParagraphFont"/>
    <w:uiPriority w:val="21"/>
    <w:qFormat/>
    <w:rsid w:val="00EB1384"/>
    <w:rPr>
      <w:i/>
      <w:iCs/>
      <w:color w:val="0F4761" w:themeColor="accent1" w:themeShade="BF"/>
    </w:rPr>
  </w:style>
  <w:style w:type="paragraph" w:styleId="IntenseQuote">
    <w:name w:val="Intense Quote"/>
    <w:basedOn w:val="Normal"/>
    <w:next w:val="Normal"/>
    <w:link w:val="IntenseQuoteChar"/>
    <w:uiPriority w:val="30"/>
    <w:qFormat/>
    <w:rsid w:val="00EB1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384"/>
    <w:rPr>
      <w:i/>
      <w:iCs/>
      <w:color w:val="0F4761" w:themeColor="accent1" w:themeShade="BF"/>
    </w:rPr>
  </w:style>
  <w:style w:type="character" w:styleId="IntenseReference">
    <w:name w:val="Intense Reference"/>
    <w:basedOn w:val="DefaultParagraphFont"/>
    <w:uiPriority w:val="32"/>
    <w:qFormat/>
    <w:rsid w:val="00EB1384"/>
    <w:rPr>
      <w:b/>
      <w:bCs/>
      <w:smallCaps/>
      <w:color w:val="0F4761" w:themeColor="accent1" w:themeShade="BF"/>
      <w:spacing w:val="5"/>
    </w:rPr>
  </w:style>
  <w:style w:type="character" w:styleId="Hyperlink">
    <w:name w:val="Hyperlink"/>
    <w:basedOn w:val="DefaultParagraphFont"/>
    <w:uiPriority w:val="99"/>
    <w:unhideWhenUsed/>
    <w:rsid w:val="003C7B9F"/>
    <w:rPr>
      <w:color w:val="467886" w:themeColor="hyperlink"/>
      <w:u w:val="single"/>
    </w:rPr>
  </w:style>
  <w:style w:type="character" w:styleId="UnresolvedMention">
    <w:name w:val="Unresolved Mention"/>
    <w:basedOn w:val="DefaultParagraphFont"/>
    <w:uiPriority w:val="99"/>
    <w:semiHidden/>
    <w:unhideWhenUsed/>
    <w:rsid w:val="003C7B9F"/>
    <w:rPr>
      <w:color w:val="605E5C"/>
      <w:shd w:val="clear" w:color="auto" w:fill="E1DFDD"/>
    </w:rPr>
  </w:style>
  <w:style w:type="paragraph" w:styleId="Header">
    <w:name w:val="header"/>
    <w:basedOn w:val="Normal"/>
    <w:link w:val="HeaderChar"/>
    <w:uiPriority w:val="99"/>
    <w:unhideWhenUsed/>
    <w:rsid w:val="00147B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BE0"/>
  </w:style>
  <w:style w:type="paragraph" w:styleId="Footer">
    <w:name w:val="footer"/>
    <w:basedOn w:val="Normal"/>
    <w:link w:val="FooterChar"/>
    <w:uiPriority w:val="99"/>
    <w:unhideWhenUsed/>
    <w:rsid w:val="00147B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B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mibank.com.pg/index.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724176465EF546A40F45F6A9CF620C" ma:contentTypeVersion="1" ma:contentTypeDescription="Create a new document." ma:contentTypeScope="" ma:versionID="4897736c4b9c1953d34efd0506cf7e46">
  <xsd:schema xmlns:xsd="http://www.w3.org/2001/XMLSchema" xmlns:xs="http://www.w3.org/2001/XMLSchema" xmlns:p="http://schemas.microsoft.com/office/2006/metadata/properties" xmlns:ns3="0161c0eb-0c3a-4bc5-b9ee-aff38860fb83" targetNamespace="http://schemas.microsoft.com/office/2006/metadata/properties" ma:root="true" ma:fieldsID="2a61d61a666a349ec859094239e4163b" ns3:_="">
    <xsd:import namespace="0161c0eb-0c3a-4bc5-b9ee-aff38860fb83"/>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61c0eb-0c3a-4bc5-b9ee-aff38860fb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EFAA89-6C0F-40C8-B6D2-E057B371A7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61c0eb-0c3a-4bc5-b9ee-aff38860fb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0504A7-45EC-445E-995D-F6090DCCCA3A}">
  <ds:schemaRefs>
    <ds:schemaRef ds:uri="http://schemas.microsoft.com/sharepoint/v3/contenttype/forms"/>
  </ds:schemaRefs>
</ds:datastoreItem>
</file>

<file path=customXml/itemProps3.xml><?xml version="1.0" encoding="utf-8"?>
<ds:datastoreItem xmlns:ds="http://schemas.openxmlformats.org/officeDocument/2006/customXml" ds:itemID="{97C2A643-549E-49DD-ABCB-17B5AC5F9E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Camillia Potoi</dc:creator>
  <cp:keywords/>
  <dc:description/>
  <cp:lastModifiedBy>Sophia Niggea</cp:lastModifiedBy>
  <cp:revision>14</cp:revision>
  <dcterms:created xsi:type="dcterms:W3CDTF">2026-07-17T00:32:00Z</dcterms:created>
  <dcterms:modified xsi:type="dcterms:W3CDTF">2026-07-17T06:59:00Z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0x01010029724176465EF546A40F45F6A9CF620C</vt:lpwstr>
  </property>
</Properties>
</file>