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40212" w14:textId="77777777" w:rsidR="008E1991" w:rsidRDefault="00000000">
      <w:pPr>
        <w:spacing w:after="17"/>
      </w:pPr>
      <w:r>
        <w:rPr>
          <w:b/>
          <w:color w:val="C9A227"/>
          <w:sz w:val="18"/>
        </w:rPr>
        <w:t>WESTERN PACIFIC UNIVERSITY</w:t>
      </w:r>
      <w:r>
        <w:rPr>
          <w:sz w:val="21"/>
        </w:rPr>
        <w:t xml:space="preserve"> </w:t>
      </w:r>
    </w:p>
    <w:p w14:paraId="00603560" w14:textId="77777777" w:rsidR="008E1991" w:rsidRDefault="00000000">
      <w:pPr>
        <w:spacing w:after="239"/>
      </w:pPr>
      <w:r>
        <w:rPr>
          <w:b/>
          <w:color w:val="5A6478"/>
          <w:sz w:val="20"/>
        </w:rPr>
        <w:t>CMN224 / CMP224 Software Engineering — Week 5</w:t>
      </w:r>
      <w:r>
        <w:rPr>
          <w:sz w:val="21"/>
        </w:rPr>
        <w:t xml:space="preserve"> </w:t>
      </w:r>
    </w:p>
    <w:p w14:paraId="05EC4645" w14:textId="77777777" w:rsidR="008E1991" w:rsidRDefault="00000000">
      <w:pPr>
        <w:spacing w:after="0" w:line="241" w:lineRule="auto"/>
      </w:pPr>
      <w:r>
        <w:rPr>
          <w:rFonts w:ascii="Cambria" w:eastAsia="Cambria" w:hAnsi="Cambria" w:cs="Cambria"/>
          <w:b/>
          <w:color w:val="1B2A4A"/>
          <w:sz w:val="44"/>
        </w:rPr>
        <w:t>Homework: Defend One Architectural Decision</w:t>
      </w:r>
      <w:r>
        <w:rPr>
          <w:sz w:val="21"/>
        </w:rPr>
        <w:t xml:space="preserve"> </w:t>
      </w:r>
    </w:p>
    <w:p w14:paraId="545086DB" w14:textId="77777777" w:rsidR="008E1991" w:rsidRDefault="00000000">
      <w:pPr>
        <w:spacing w:after="0"/>
      </w:pPr>
      <w:r>
        <w:rPr>
          <w:i/>
          <w:color w:val="5A6478"/>
        </w:rPr>
        <w:t>Formative (ungraded) · Moodle submission · ~45 minutes · due before Week 6</w:t>
      </w:r>
      <w:r>
        <w:rPr>
          <w:sz w:val="21"/>
        </w:rPr>
        <w:t xml:space="preserve"> </w:t>
      </w:r>
    </w:p>
    <w:tbl>
      <w:tblPr>
        <w:tblStyle w:val="TableGrid"/>
        <w:tblW w:w="9359" w:type="dxa"/>
        <w:tblInd w:w="6" w:type="dxa"/>
        <w:tblCellMar>
          <w:top w:w="134" w:type="dxa"/>
          <w:left w:w="119" w:type="dxa"/>
          <w:bottom w:w="0" w:type="dxa"/>
          <w:right w:w="115" w:type="dxa"/>
        </w:tblCellMar>
        <w:tblLook w:val="04A0" w:firstRow="1" w:lastRow="0" w:firstColumn="1" w:lastColumn="0" w:noHBand="0" w:noVBand="1"/>
      </w:tblPr>
      <w:tblGrid>
        <w:gridCol w:w="2699"/>
        <w:gridCol w:w="6660"/>
      </w:tblGrid>
      <w:tr w:rsidR="008E1991" w14:paraId="4E907E24" w14:textId="77777777">
        <w:trPr>
          <w:trHeight w:val="433"/>
        </w:trPr>
        <w:tc>
          <w:tcPr>
            <w:tcW w:w="2699" w:type="dxa"/>
            <w:tcBorders>
              <w:top w:val="single" w:sz="4" w:space="0" w:color="AFBBD0"/>
              <w:left w:val="single" w:sz="4" w:space="0" w:color="AFBBD0"/>
              <w:bottom w:val="single" w:sz="36" w:space="0" w:color="FFFFFF"/>
              <w:right w:val="single" w:sz="4" w:space="0" w:color="AFBBD0"/>
            </w:tcBorders>
            <w:shd w:val="clear" w:color="auto" w:fill="1B2A4A"/>
          </w:tcPr>
          <w:p w14:paraId="305253D7" w14:textId="77777777" w:rsidR="008E1991" w:rsidRDefault="00000000">
            <w:pPr>
              <w:spacing w:after="0"/>
            </w:pPr>
            <w:r>
              <w:rPr>
                <w:b/>
                <w:color w:val="FFFFFF"/>
                <w:sz w:val="20"/>
              </w:rPr>
              <w:t>Item</w:t>
            </w:r>
            <w:r>
              <w:rPr>
                <w:color w:val="FFFFFF"/>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1B2A4A"/>
          </w:tcPr>
          <w:p w14:paraId="61672F5A" w14:textId="77777777" w:rsidR="008E1991" w:rsidRDefault="00000000">
            <w:pPr>
              <w:spacing w:after="0"/>
              <w:ind w:left="1"/>
            </w:pPr>
            <w:r>
              <w:rPr>
                <w:b/>
                <w:color w:val="FFFFFF"/>
                <w:sz w:val="20"/>
              </w:rPr>
              <w:t>Details</w:t>
            </w:r>
            <w:r>
              <w:rPr>
                <w:color w:val="FFFFFF"/>
                <w:sz w:val="21"/>
              </w:rPr>
              <w:t xml:space="preserve"> </w:t>
            </w:r>
          </w:p>
        </w:tc>
      </w:tr>
      <w:tr w:rsidR="008E1991" w14:paraId="24577B0A" w14:textId="77777777">
        <w:trPr>
          <w:trHeight w:val="434"/>
        </w:trPr>
        <w:tc>
          <w:tcPr>
            <w:tcW w:w="2699" w:type="dxa"/>
            <w:tcBorders>
              <w:top w:val="single" w:sz="36" w:space="0" w:color="FFFFFF"/>
              <w:left w:val="single" w:sz="4" w:space="0" w:color="AFBBD0"/>
              <w:bottom w:val="single" w:sz="4" w:space="0" w:color="AFBBD0"/>
              <w:right w:val="single" w:sz="4" w:space="0" w:color="AFBBD0"/>
            </w:tcBorders>
          </w:tcPr>
          <w:p w14:paraId="1843FAE1" w14:textId="77777777" w:rsidR="008E1991" w:rsidRDefault="00000000">
            <w:pPr>
              <w:spacing w:after="0"/>
            </w:pPr>
            <w:r>
              <w:rPr>
                <w:color w:val="222831"/>
                <w:sz w:val="20"/>
              </w:rPr>
              <w:t>Linked to</w:t>
            </w:r>
            <w:r>
              <w:rPr>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02FC4E60" w14:textId="77777777" w:rsidR="008E1991" w:rsidRDefault="00000000">
            <w:pPr>
              <w:spacing w:after="0"/>
              <w:ind w:left="1"/>
            </w:pPr>
            <w:r>
              <w:rPr>
                <w:color w:val="222831"/>
                <w:sz w:val="20"/>
              </w:rPr>
              <w:t>Week 5 lecture and Lab 4 (ULO2, ULO4)</w:t>
            </w:r>
            <w:r>
              <w:rPr>
                <w:sz w:val="21"/>
              </w:rPr>
              <w:t xml:space="preserve"> </w:t>
            </w:r>
          </w:p>
        </w:tc>
      </w:tr>
      <w:tr w:rsidR="008E1991" w14:paraId="68968965" w14:textId="77777777">
        <w:trPr>
          <w:trHeight w:val="434"/>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4B17F105" w14:textId="77777777" w:rsidR="008E1991" w:rsidRDefault="00000000">
            <w:pPr>
              <w:spacing w:after="0"/>
            </w:pPr>
            <w:r>
              <w:rPr>
                <w:color w:val="222831"/>
                <w:sz w:val="20"/>
              </w:rPr>
              <w:t>Length</w:t>
            </w:r>
            <w:r>
              <w:rPr>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70863B1C" w14:textId="77777777" w:rsidR="008E1991" w:rsidRDefault="00000000">
            <w:pPr>
              <w:spacing w:after="0"/>
              <w:ind w:left="1"/>
            </w:pPr>
            <w:r>
              <w:rPr>
                <w:color w:val="222831"/>
                <w:sz w:val="20"/>
              </w:rPr>
              <w:t>250–350 words plus one small diagram (may be a photo of a hand drawing)</w:t>
            </w:r>
            <w:r>
              <w:rPr>
                <w:sz w:val="21"/>
              </w:rPr>
              <w:t xml:space="preserve"> </w:t>
            </w:r>
          </w:p>
        </w:tc>
      </w:tr>
      <w:tr w:rsidR="008E1991" w14:paraId="60338BA1" w14:textId="77777777">
        <w:trPr>
          <w:trHeight w:val="434"/>
        </w:trPr>
        <w:tc>
          <w:tcPr>
            <w:tcW w:w="2699" w:type="dxa"/>
            <w:tcBorders>
              <w:top w:val="single" w:sz="36" w:space="0" w:color="FFFFFF"/>
              <w:left w:val="single" w:sz="4" w:space="0" w:color="AFBBD0"/>
              <w:bottom w:val="single" w:sz="4" w:space="0" w:color="AFBBD0"/>
              <w:right w:val="single" w:sz="4" w:space="0" w:color="AFBBD0"/>
            </w:tcBorders>
          </w:tcPr>
          <w:p w14:paraId="7221DB01" w14:textId="77777777" w:rsidR="008E1991" w:rsidRDefault="00000000">
            <w:pPr>
              <w:spacing w:after="0"/>
            </w:pPr>
            <w:r>
              <w:rPr>
                <w:color w:val="222831"/>
                <w:sz w:val="20"/>
              </w:rPr>
              <w:t>Submission</w:t>
            </w:r>
            <w:r>
              <w:rPr>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17DBA41C" w14:textId="77777777" w:rsidR="008E1991" w:rsidRDefault="00000000">
            <w:pPr>
              <w:spacing w:after="0"/>
              <w:ind w:left="1"/>
            </w:pPr>
            <w:r>
              <w:rPr>
                <w:color w:val="222831"/>
                <w:sz w:val="20"/>
              </w:rPr>
              <w:t>Moodle → Week 5 → Homework. Also commit to week05/ in your portfolio.</w:t>
            </w:r>
            <w:r>
              <w:rPr>
                <w:sz w:val="21"/>
              </w:rPr>
              <w:t xml:space="preserve"> </w:t>
            </w:r>
          </w:p>
        </w:tc>
      </w:tr>
      <w:tr w:rsidR="008E1991" w14:paraId="11957C82" w14:textId="77777777">
        <w:trPr>
          <w:trHeight w:val="642"/>
        </w:trPr>
        <w:tc>
          <w:tcPr>
            <w:tcW w:w="2699" w:type="dxa"/>
            <w:tcBorders>
              <w:top w:val="single" w:sz="4" w:space="0" w:color="AFBBD0"/>
              <w:left w:val="single" w:sz="4" w:space="0" w:color="AFBBD0"/>
              <w:bottom w:val="single" w:sz="4" w:space="0" w:color="AFBBD0"/>
              <w:right w:val="single" w:sz="4" w:space="0" w:color="AFBBD0"/>
            </w:tcBorders>
            <w:shd w:val="clear" w:color="auto" w:fill="F4F7FC"/>
          </w:tcPr>
          <w:p w14:paraId="348087F0" w14:textId="77777777" w:rsidR="008E1991" w:rsidRDefault="00000000">
            <w:pPr>
              <w:spacing w:after="0"/>
            </w:pPr>
            <w:r>
              <w:rPr>
                <w:color w:val="222831"/>
                <w:sz w:val="20"/>
              </w:rPr>
              <w:t>Why</w:t>
            </w:r>
            <w:r>
              <w:rPr>
                <w:sz w:val="21"/>
              </w:rPr>
              <w:t xml:space="preserve"> </w:t>
            </w:r>
          </w:p>
        </w:tc>
        <w:tc>
          <w:tcPr>
            <w:tcW w:w="6660" w:type="dxa"/>
            <w:tcBorders>
              <w:top w:val="single" w:sz="4" w:space="0" w:color="AFBBD0"/>
              <w:left w:val="single" w:sz="4" w:space="0" w:color="AFBBD0"/>
              <w:bottom w:val="single" w:sz="4" w:space="0" w:color="AFBBD0"/>
              <w:right w:val="single" w:sz="4" w:space="0" w:color="AFBBD0"/>
            </w:tcBorders>
            <w:shd w:val="clear" w:color="auto" w:fill="F4F7FC"/>
          </w:tcPr>
          <w:p w14:paraId="41EBE3F8" w14:textId="77777777" w:rsidR="008E1991" w:rsidRDefault="00000000">
            <w:pPr>
              <w:spacing w:after="0"/>
              <w:ind w:left="1"/>
            </w:pPr>
            <w:r>
              <w:rPr>
                <w:color w:val="222831"/>
                <w:sz w:val="20"/>
              </w:rPr>
              <w:t>Task 4 is marked on the quality of design decisions, not diagram neatness. This is that skill, practised once, cheaply.</w:t>
            </w:r>
            <w:r>
              <w:rPr>
                <w:sz w:val="21"/>
              </w:rPr>
              <w:t xml:space="preserve"> </w:t>
            </w:r>
          </w:p>
        </w:tc>
      </w:tr>
    </w:tbl>
    <w:p w14:paraId="2ED651C8" w14:textId="77777777" w:rsidR="008E1991" w:rsidRDefault="00000000">
      <w:pPr>
        <w:pStyle w:val="Heading1"/>
        <w:ind w:left="-5"/>
      </w:pPr>
      <w:r>
        <w:t>The task</w:t>
      </w:r>
      <w:r>
        <w:rPr>
          <w:b w:val="0"/>
          <w:color w:val="000000"/>
          <w:sz w:val="21"/>
        </w:rPr>
        <w:t xml:space="preserve"> </w:t>
      </w:r>
    </w:p>
    <w:p w14:paraId="6F0C353A" w14:textId="77777777" w:rsidR="008E1991" w:rsidRDefault="00000000">
      <w:pPr>
        <w:spacing w:after="299" w:line="249" w:lineRule="auto"/>
        <w:ind w:left="10" w:hanging="10"/>
      </w:pPr>
      <w:r>
        <w:rPr>
          <w:sz w:val="21"/>
        </w:rPr>
        <w:t xml:space="preserve">Pick ONE architectural decision you made in Lab 4 — the pattern, where the data lives, how sync works, where authorisation is enforced, or how failure is handled. Write a short justification a client could read. </w:t>
      </w:r>
    </w:p>
    <w:p w14:paraId="4262EE87" w14:textId="77777777" w:rsidR="008E1991" w:rsidRDefault="00000000">
      <w:pPr>
        <w:pStyle w:val="Heading1"/>
        <w:spacing w:after="0"/>
        <w:ind w:left="-5"/>
      </w:pPr>
      <w:r>
        <w:t>Structure — use these four headings</w:t>
      </w:r>
      <w:r>
        <w:rPr>
          <w:b w:val="0"/>
          <w:color w:val="000000"/>
          <w:sz w:val="21"/>
        </w:rPr>
        <w:t xml:space="preserve"> </w:t>
      </w:r>
    </w:p>
    <w:tbl>
      <w:tblPr>
        <w:tblStyle w:val="TableGrid"/>
        <w:tblW w:w="9359" w:type="dxa"/>
        <w:tblInd w:w="6" w:type="dxa"/>
        <w:tblCellMar>
          <w:top w:w="135" w:type="dxa"/>
          <w:left w:w="119" w:type="dxa"/>
          <w:bottom w:w="0" w:type="dxa"/>
          <w:right w:w="115" w:type="dxa"/>
        </w:tblCellMar>
        <w:tblLook w:val="04A0" w:firstRow="1" w:lastRow="0" w:firstColumn="1" w:lastColumn="0" w:noHBand="0" w:noVBand="1"/>
      </w:tblPr>
      <w:tblGrid>
        <w:gridCol w:w="1526"/>
        <w:gridCol w:w="8724"/>
      </w:tblGrid>
      <w:tr w:rsidR="008E1991" w14:paraId="307366B9" w14:textId="77777777">
        <w:trPr>
          <w:trHeight w:val="432"/>
        </w:trPr>
        <w:tc>
          <w:tcPr>
            <w:tcW w:w="2399" w:type="dxa"/>
            <w:tcBorders>
              <w:top w:val="single" w:sz="4" w:space="0" w:color="AFBBD0"/>
              <w:left w:val="single" w:sz="4" w:space="0" w:color="AFBBD0"/>
              <w:bottom w:val="single" w:sz="36" w:space="0" w:color="FFFFFF"/>
              <w:right w:val="single" w:sz="4" w:space="0" w:color="AFBBD0"/>
            </w:tcBorders>
            <w:shd w:val="clear" w:color="auto" w:fill="1B2A4A"/>
          </w:tcPr>
          <w:p w14:paraId="68657FA4" w14:textId="77777777" w:rsidR="008E1991" w:rsidRDefault="00000000">
            <w:pPr>
              <w:spacing w:after="0"/>
            </w:pPr>
            <w:r>
              <w:rPr>
                <w:b/>
                <w:color w:val="FFFFFF"/>
                <w:sz w:val="20"/>
              </w:rPr>
              <w:t>Heading</w:t>
            </w:r>
            <w:r>
              <w:rPr>
                <w:color w:val="FFFFFF"/>
                <w:sz w:val="21"/>
              </w:rPr>
              <w:t xml:space="preserve"> </w:t>
            </w:r>
          </w:p>
        </w:tc>
        <w:tc>
          <w:tcPr>
            <w:tcW w:w="6960" w:type="dxa"/>
            <w:tcBorders>
              <w:top w:val="single" w:sz="4" w:space="0" w:color="AFBBD0"/>
              <w:left w:val="single" w:sz="4" w:space="0" w:color="AFBBD0"/>
              <w:bottom w:val="single" w:sz="36" w:space="0" w:color="FFFFFF"/>
              <w:right w:val="single" w:sz="4" w:space="0" w:color="AFBBD0"/>
            </w:tcBorders>
            <w:shd w:val="clear" w:color="auto" w:fill="1B2A4A"/>
          </w:tcPr>
          <w:p w14:paraId="18DEA52D" w14:textId="77777777" w:rsidR="008E1991" w:rsidRDefault="00000000">
            <w:pPr>
              <w:spacing w:after="0"/>
              <w:ind w:left="1"/>
            </w:pPr>
            <w:r>
              <w:rPr>
                <w:b/>
                <w:color w:val="FFFFFF"/>
                <w:sz w:val="20"/>
              </w:rPr>
              <w:t>What goes here</w:t>
            </w:r>
            <w:r>
              <w:rPr>
                <w:color w:val="FFFFFF"/>
                <w:sz w:val="21"/>
              </w:rPr>
              <w:t xml:space="preserve"> </w:t>
            </w:r>
          </w:p>
        </w:tc>
      </w:tr>
      <w:tr w:rsidR="008E1991" w14:paraId="710C4C43" w14:textId="77777777">
        <w:trPr>
          <w:trHeight w:val="680"/>
        </w:trPr>
        <w:tc>
          <w:tcPr>
            <w:tcW w:w="2399" w:type="dxa"/>
            <w:tcBorders>
              <w:top w:val="single" w:sz="36" w:space="0" w:color="FFFFFF"/>
              <w:left w:val="single" w:sz="4" w:space="0" w:color="AFBBD0"/>
              <w:bottom w:val="single" w:sz="4" w:space="0" w:color="AFBBD0"/>
              <w:right w:val="single" w:sz="4" w:space="0" w:color="AFBBD0"/>
            </w:tcBorders>
          </w:tcPr>
          <w:p w14:paraId="56388399" w14:textId="77777777" w:rsidR="008E1991" w:rsidRDefault="00000000">
            <w:pPr>
              <w:spacing w:after="0"/>
            </w:pPr>
            <w:r>
              <w:rPr>
                <w:color w:val="222831"/>
                <w:sz w:val="20"/>
              </w:rPr>
              <w:t>1. The decision</w:t>
            </w:r>
            <w:r>
              <w:rPr>
                <w:sz w:val="21"/>
              </w:rPr>
              <w:t xml:space="preserve"> </w:t>
            </w:r>
          </w:p>
        </w:tc>
        <w:tc>
          <w:tcPr>
            <w:tcW w:w="6960" w:type="dxa"/>
            <w:tcBorders>
              <w:top w:val="single" w:sz="36" w:space="0" w:color="FFFFFF"/>
              <w:left w:val="single" w:sz="4" w:space="0" w:color="AFBBD0"/>
              <w:bottom w:val="single" w:sz="4" w:space="0" w:color="AFBBD0"/>
              <w:right w:val="single" w:sz="4" w:space="0" w:color="AFBBD0"/>
            </w:tcBorders>
          </w:tcPr>
          <w:p w14:paraId="511D6DDB" w14:textId="20170DA7" w:rsidR="008E1991" w:rsidRPr="008E28EA" w:rsidRDefault="00042512" w:rsidP="002424AE">
            <w:pPr>
              <w:spacing w:after="0"/>
              <w:rPr>
                <w:color w:val="auto"/>
              </w:rPr>
            </w:pPr>
            <w:r w:rsidRPr="008E28EA">
              <w:rPr>
                <w:color w:val="auto"/>
              </w:rPr>
              <w:t xml:space="preserve">The decision </w:t>
            </w:r>
            <w:r w:rsidR="002424AE" w:rsidRPr="008E28EA">
              <w:rPr>
                <w:color w:val="auto"/>
              </w:rPr>
              <w:t>I</w:t>
            </w:r>
            <w:r w:rsidRPr="008E28EA">
              <w:rPr>
                <w:color w:val="auto"/>
              </w:rPr>
              <w:t>’ve</w:t>
            </w:r>
            <w:r w:rsidR="002424AE" w:rsidRPr="008E28EA">
              <w:rPr>
                <w:color w:val="auto"/>
              </w:rPr>
              <w:t xml:space="preserve"> decided</w:t>
            </w:r>
            <w:r w:rsidRPr="008E28EA">
              <w:rPr>
                <w:color w:val="auto"/>
              </w:rPr>
              <w:t xml:space="preserve"> is</w:t>
            </w:r>
            <w:r w:rsidR="002424AE" w:rsidRPr="008E28EA">
              <w:rPr>
                <w:color w:val="auto"/>
              </w:rPr>
              <w:t xml:space="preserve"> that each depot laptop should store its own local database</w:t>
            </w:r>
            <w:r w:rsidRPr="008E28EA">
              <w:rPr>
                <w:color w:val="auto"/>
              </w:rPr>
              <w:t xml:space="preserve"> in the device</w:t>
            </w:r>
            <w:r w:rsidR="002424AE" w:rsidRPr="008E28EA">
              <w:rPr>
                <w:color w:val="auto"/>
              </w:rPr>
              <w:t xml:space="preserve"> and synchronize </w:t>
            </w:r>
            <w:r w:rsidRPr="008E28EA">
              <w:rPr>
                <w:color w:val="auto"/>
              </w:rPr>
              <w:t xml:space="preserve">it </w:t>
            </w:r>
            <w:r w:rsidR="002424AE" w:rsidRPr="008E28EA">
              <w:rPr>
                <w:color w:val="auto"/>
              </w:rPr>
              <w:t xml:space="preserve">with the central database whenever </w:t>
            </w:r>
            <w:r w:rsidRPr="008E28EA">
              <w:rPr>
                <w:color w:val="auto"/>
              </w:rPr>
              <w:t>the</w:t>
            </w:r>
            <w:r w:rsidR="002424AE" w:rsidRPr="008E28EA">
              <w:rPr>
                <w:color w:val="auto"/>
              </w:rPr>
              <w:t xml:space="preserve"> internet connection becomes available.</w:t>
            </w:r>
          </w:p>
        </w:tc>
      </w:tr>
      <w:tr w:rsidR="008E1991" w14:paraId="233C06D5" w14:textId="77777777">
        <w:trPr>
          <w:trHeight w:val="678"/>
        </w:trPr>
        <w:tc>
          <w:tcPr>
            <w:tcW w:w="2399" w:type="dxa"/>
            <w:tcBorders>
              <w:top w:val="single" w:sz="4" w:space="0" w:color="AFBBD0"/>
              <w:left w:val="single" w:sz="4" w:space="0" w:color="AFBBD0"/>
              <w:bottom w:val="single" w:sz="37" w:space="0" w:color="FFFFFF"/>
              <w:right w:val="single" w:sz="4" w:space="0" w:color="AFBBD0"/>
            </w:tcBorders>
            <w:shd w:val="clear" w:color="auto" w:fill="F4F7FC"/>
          </w:tcPr>
          <w:p w14:paraId="7FD6A125" w14:textId="77777777" w:rsidR="008E1991" w:rsidRDefault="00000000">
            <w:pPr>
              <w:spacing w:after="0"/>
            </w:pPr>
            <w:r>
              <w:rPr>
                <w:color w:val="222831"/>
                <w:sz w:val="20"/>
              </w:rPr>
              <w:t>2. What forced it</w:t>
            </w:r>
            <w:r>
              <w:rPr>
                <w:sz w:val="21"/>
              </w:rPr>
              <w:t xml:space="preserve"> </w:t>
            </w:r>
          </w:p>
        </w:tc>
        <w:tc>
          <w:tcPr>
            <w:tcW w:w="6960" w:type="dxa"/>
            <w:tcBorders>
              <w:top w:val="single" w:sz="4" w:space="0" w:color="AFBBD0"/>
              <w:left w:val="single" w:sz="4" w:space="0" w:color="AFBBD0"/>
              <w:bottom w:val="single" w:sz="37" w:space="0" w:color="FFFFFF"/>
              <w:right w:val="single" w:sz="4" w:space="0" w:color="AFBBD0"/>
            </w:tcBorders>
            <w:shd w:val="clear" w:color="auto" w:fill="F4F7FC"/>
          </w:tcPr>
          <w:p w14:paraId="67F0FD8D" w14:textId="04ED03D9" w:rsidR="008E1991" w:rsidRPr="008E28EA" w:rsidRDefault="00042512" w:rsidP="00042512">
            <w:pPr>
              <w:spacing w:after="0"/>
              <w:rPr>
                <w:color w:val="auto"/>
              </w:rPr>
            </w:pPr>
            <w:r w:rsidRPr="008E28EA">
              <w:rPr>
                <w:color w:val="auto"/>
              </w:rPr>
              <w:t xml:space="preserve">I made this selection because one of the gadget's non-practical requirements become that the depot must preserve operating even if net connectivity is unavailable. Since the depots are in faraway areas where network connections may be unreliable, workforce still want to document purchases and access records with out depending on the net. A nearby database permits the gadget to keep operating </w:t>
            </w:r>
            <w:r w:rsidRPr="008E28EA">
              <w:rPr>
                <w:color w:val="auto"/>
              </w:rPr>
              <w:t>during</w:t>
            </w:r>
            <w:r w:rsidRPr="008E28EA">
              <w:rPr>
                <w:color w:val="auto"/>
              </w:rPr>
              <w:t xml:space="preserve"> community outages.</w:t>
            </w:r>
          </w:p>
        </w:tc>
      </w:tr>
      <w:tr w:rsidR="008E1991" w14:paraId="04068E00" w14:textId="77777777">
        <w:trPr>
          <w:trHeight w:val="923"/>
        </w:trPr>
        <w:tc>
          <w:tcPr>
            <w:tcW w:w="2399" w:type="dxa"/>
            <w:tcBorders>
              <w:top w:val="single" w:sz="37" w:space="0" w:color="FFFFFF"/>
              <w:left w:val="single" w:sz="4" w:space="0" w:color="AFBBD0"/>
              <w:bottom w:val="single" w:sz="4" w:space="0" w:color="AFBBD0"/>
              <w:right w:val="single" w:sz="4" w:space="0" w:color="AFBBD0"/>
            </w:tcBorders>
          </w:tcPr>
          <w:p w14:paraId="50DECF7A" w14:textId="77777777" w:rsidR="008E1991" w:rsidRDefault="00000000">
            <w:pPr>
              <w:spacing w:after="0"/>
            </w:pPr>
            <w:r>
              <w:rPr>
                <w:color w:val="222831"/>
                <w:sz w:val="20"/>
              </w:rPr>
              <w:t>3. What I rejected</w:t>
            </w:r>
            <w:r>
              <w:rPr>
                <w:sz w:val="21"/>
              </w:rPr>
              <w:t xml:space="preserve"> </w:t>
            </w:r>
          </w:p>
        </w:tc>
        <w:tc>
          <w:tcPr>
            <w:tcW w:w="6960" w:type="dxa"/>
            <w:tcBorders>
              <w:top w:val="single" w:sz="37" w:space="0" w:color="FFFFFF"/>
              <w:left w:val="single" w:sz="4" w:space="0" w:color="AFBBD0"/>
              <w:bottom w:val="single" w:sz="4" w:space="0" w:color="AFBBD0"/>
              <w:right w:val="single" w:sz="4" w:space="0" w:color="AFBBD0"/>
            </w:tcBorders>
          </w:tcPr>
          <w:p w14:paraId="0ECA5AB5" w14:textId="3501A15D" w:rsidR="008E1991" w:rsidRPr="008E28EA" w:rsidRDefault="00042512" w:rsidP="002424AE">
            <w:pPr>
              <w:spacing w:after="0"/>
              <w:rPr>
                <w:color w:val="auto"/>
              </w:rPr>
            </w:pPr>
            <w:r w:rsidRPr="008E28EA">
              <w:rPr>
                <w:color w:val="auto"/>
              </w:rPr>
              <w:t xml:space="preserve">I rejected the opportunity of using </w:t>
            </w:r>
            <w:r w:rsidRPr="008E28EA">
              <w:rPr>
                <w:color w:val="auto"/>
              </w:rPr>
              <w:t>an</w:t>
            </w:r>
            <w:r w:rsidRPr="008E28EA">
              <w:rPr>
                <w:color w:val="auto"/>
              </w:rPr>
              <w:t xml:space="preserve"> unmarried significant database server that every one </w:t>
            </w:r>
            <w:r w:rsidRPr="008E28EA">
              <w:rPr>
                <w:color w:val="auto"/>
              </w:rPr>
              <w:t>depot</w:t>
            </w:r>
            <w:r w:rsidRPr="008E28EA">
              <w:rPr>
                <w:color w:val="auto"/>
              </w:rPr>
              <w:t xml:space="preserve"> get entry to thru the internet. Although this technique could simplify facts management due to the fact all facts </w:t>
            </w:r>
            <w:r w:rsidRPr="008E28EA">
              <w:rPr>
                <w:color w:val="auto"/>
              </w:rPr>
              <w:t>are</w:t>
            </w:r>
            <w:r w:rsidRPr="008E28EA">
              <w:rPr>
                <w:color w:val="auto"/>
              </w:rPr>
              <w:t xml:space="preserve"> stored in one place, it might fail for this customer. If the internet connection goes down, depot personnel might be not able to report purchases, view farmer data, or whole transactions. This might interrupt business operations and decrease productivity.</w:t>
            </w:r>
          </w:p>
        </w:tc>
      </w:tr>
      <w:tr w:rsidR="008E1991" w14:paraId="17E5957B" w14:textId="77777777">
        <w:trPr>
          <w:trHeight w:val="643"/>
        </w:trPr>
        <w:tc>
          <w:tcPr>
            <w:tcW w:w="2399" w:type="dxa"/>
            <w:tcBorders>
              <w:top w:val="single" w:sz="4" w:space="0" w:color="AFBBD0"/>
              <w:left w:val="single" w:sz="4" w:space="0" w:color="AFBBD0"/>
              <w:bottom w:val="single" w:sz="4" w:space="0" w:color="AFBBD0"/>
              <w:right w:val="single" w:sz="4" w:space="0" w:color="AFBBD0"/>
            </w:tcBorders>
            <w:shd w:val="clear" w:color="auto" w:fill="F4F7FC"/>
          </w:tcPr>
          <w:p w14:paraId="0A824AFA" w14:textId="77777777" w:rsidR="008E1991" w:rsidRDefault="00000000">
            <w:pPr>
              <w:spacing w:after="0"/>
            </w:pPr>
            <w:r>
              <w:rPr>
                <w:color w:val="222831"/>
                <w:sz w:val="20"/>
              </w:rPr>
              <w:t>4. What it costs me</w:t>
            </w:r>
            <w:r>
              <w:rPr>
                <w:sz w:val="21"/>
              </w:rPr>
              <w:t xml:space="preserve"> </w:t>
            </w:r>
          </w:p>
        </w:tc>
        <w:tc>
          <w:tcPr>
            <w:tcW w:w="6960" w:type="dxa"/>
            <w:tcBorders>
              <w:top w:val="single" w:sz="4" w:space="0" w:color="AFBBD0"/>
              <w:left w:val="single" w:sz="4" w:space="0" w:color="AFBBD0"/>
              <w:bottom w:val="single" w:sz="4" w:space="0" w:color="AFBBD0"/>
              <w:right w:val="single" w:sz="4" w:space="0" w:color="AFBBD0"/>
            </w:tcBorders>
            <w:shd w:val="clear" w:color="auto" w:fill="F4F7FC"/>
          </w:tcPr>
          <w:p w14:paraId="43831C68" w14:textId="08E0C1BB" w:rsidR="008E1991" w:rsidRPr="008E28EA" w:rsidRDefault="00042512" w:rsidP="002424AE">
            <w:pPr>
              <w:spacing w:after="0"/>
              <w:rPr>
                <w:color w:val="auto"/>
              </w:rPr>
            </w:pPr>
            <w:r w:rsidRPr="008E28EA">
              <w:rPr>
                <w:color w:val="auto"/>
              </w:rPr>
              <w:t xml:space="preserve">The downside of my selection is that synchronization will become more complicated. Because statistics is stored in multiple locations, there's a danger of duplicate or conflicting information while facts </w:t>
            </w:r>
            <w:r w:rsidR="00254075" w:rsidRPr="008E28EA">
              <w:rPr>
                <w:color w:val="auto"/>
              </w:rPr>
              <w:t>are</w:t>
            </w:r>
            <w:r w:rsidRPr="008E28EA">
              <w:rPr>
                <w:color w:val="auto"/>
              </w:rPr>
              <w:t xml:space="preserve"> synchronized. Additional effort is needed to control those issues and make sure all databases continue to be correct and up to date. Despite this cost, I general the change-off due to the fact keeping the depot operational constantly is greater important for the </w:t>
            </w:r>
            <w:r w:rsidRPr="008E28EA">
              <w:rPr>
                <w:color w:val="auto"/>
              </w:rPr>
              <w:t>client.</w:t>
            </w:r>
          </w:p>
        </w:tc>
      </w:tr>
      <w:tr w:rsidR="00254075" w14:paraId="2FCEE709" w14:textId="77777777">
        <w:trPr>
          <w:trHeight w:val="643"/>
        </w:trPr>
        <w:tc>
          <w:tcPr>
            <w:tcW w:w="2399" w:type="dxa"/>
            <w:tcBorders>
              <w:top w:val="single" w:sz="4" w:space="0" w:color="AFBBD0"/>
              <w:left w:val="single" w:sz="4" w:space="0" w:color="AFBBD0"/>
              <w:bottom w:val="single" w:sz="4" w:space="0" w:color="AFBBD0"/>
              <w:right w:val="single" w:sz="4" w:space="0" w:color="AFBBD0"/>
            </w:tcBorders>
            <w:shd w:val="clear" w:color="auto" w:fill="F4F7FC"/>
          </w:tcPr>
          <w:p w14:paraId="7F1D50BB" w14:textId="0C2F75EC" w:rsidR="00254075" w:rsidRDefault="00254075">
            <w:pPr>
              <w:spacing w:after="0"/>
              <w:rPr>
                <w:color w:val="222831"/>
                <w:sz w:val="20"/>
              </w:rPr>
            </w:pPr>
            <w:r w:rsidRPr="00254075">
              <w:rPr>
                <w:b/>
                <w:bCs/>
                <w:color w:val="222831"/>
                <w:sz w:val="20"/>
              </w:rPr>
              <w:lastRenderedPageBreak/>
              <w:t>Diagram:</w:t>
            </w:r>
            <w:r>
              <w:rPr>
                <w:color w:val="222831"/>
                <w:sz w:val="20"/>
              </w:rPr>
              <w:t xml:space="preserve"> </w:t>
            </w:r>
            <w:r w:rsidRPr="00254075">
              <w:rPr>
                <w:color w:val="222831"/>
                <w:sz w:val="20"/>
              </w:rPr>
              <w:t>Local Database Synchronisation Architecture</w:t>
            </w:r>
          </w:p>
        </w:tc>
        <w:tc>
          <w:tcPr>
            <w:tcW w:w="6960" w:type="dxa"/>
            <w:tcBorders>
              <w:top w:val="single" w:sz="4" w:space="0" w:color="AFBBD0"/>
              <w:left w:val="single" w:sz="4" w:space="0" w:color="AFBBD0"/>
              <w:bottom w:val="single" w:sz="4" w:space="0" w:color="AFBBD0"/>
              <w:right w:val="single" w:sz="4" w:space="0" w:color="AFBBD0"/>
            </w:tcBorders>
            <w:shd w:val="clear" w:color="auto" w:fill="F4F7FC"/>
          </w:tcPr>
          <w:p w14:paraId="22AF07E7" w14:textId="7D2B7171" w:rsidR="00254075" w:rsidRPr="008E28EA" w:rsidRDefault="00254075" w:rsidP="002424AE">
            <w:pPr>
              <w:spacing w:after="0"/>
              <w:rPr>
                <w:color w:val="auto"/>
              </w:rPr>
            </w:pPr>
            <w:r>
              <w:rPr>
                <w:noProof/>
              </w:rPr>
              <w:drawing>
                <wp:inline distT="0" distB="0" distL="0" distR="0" wp14:anchorId="3381DE37" wp14:editId="01ACBFD2">
                  <wp:extent cx="5384165" cy="2770496"/>
                  <wp:effectExtent l="0" t="0" r="6985" b="0"/>
                  <wp:docPr id="53199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36827" cy="2797594"/>
                          </a:xfrm>
                          <a:prstGeom prst="rect">
                            <a:avLst/>
                          </a:prstGeom>
                          <a:noFill/>
                          <a:ln>
                            <a:noFill/>
                          </a:ln>
                        </pic:spPr>
                      </pic:pic>
                    </a:graphicData>
                  </a:graphic>
                </wp:inline>
              </w:drawing>
            </w:r>
          </w:p>
        </w:tc>
      </w:tr>
    </w:tbl>
    <w:p w14:paraId="34469193" w14:textId="77777777" w:rsidR="00254075" w:rsidRDefault="00254075">
      <w:pPr>
        <w:pStyle w:val="Heading1"/>
        <w:ind w:left="-5"/>
      </w:pPr>
    </w:p>
    <w:p w14:paraId="5DA43F09" w14:textId="7BE250E6" w:rsidR="008E1991" w:rsidRDefault="00000000">
      <w:pPr>
        <w:pStyle w:val="Heading1"/>
        <w:ind w:left="-5"/>
      </w:pPr>
      <w:r>
        <w:t>What a strong answer looks like</w:t>
      </w:r>
      <w:r>
        <w:rPr>
          <w:b w:val="0"/>
          <w:color w:val="000000"/>
          <w:sz w:val="21"/>
        </w:rPr>
        <w:t xml:space="preserve"> </w:t>
      </w:r>
    </w:p>
    <w:p w14:paraId="011334AF" w14:textId="77777777" w:rsidR="008E1991" w:rsidRDefault="00000000">
      <w:pPr>
        <w:numPr>
          <w:ilvl w:val="0"/>
          <w:numId w:val="1"/>
        </w:numPr>
        <w:spacing w:after="59" w:line="249" w:lineRule="auto"/>
        <w:ind w:hanging="199"/>
      </w:pPr>
      <w:r>
        <w:rPr>
          <w:sz w:val="21"/>
        </w:rPr>
        <w:t xml:space="preserve">Section 2 quotes an actual requirement, with its number if you have one. </w:t>
      </w:r>
    </w:p>
    <w:p w14:paraId="58D8CD14" w14:textId="77777777" w:rsidR="008E1991" w:rsidRDefault="00000000">
      <w:pPr>
        <w:numPr>
          <w:ilvl w:val="0"/>
          <w:numId w:val="1"/>
        </w:numPr>
        <w:spacing w:after="59" w:line="249" w:lineRule="auto"/>
        <w:ind w:hanging="199"/>
      </w:pPr>
      <w:r>
        <w:rPr>
          <w:sz w:val="21"/>
        </w:rPr>
        <w:t xml:space="preserve">Section 3 names an alternative a competent engineer would genuinely have considered — not a straw man. </w:t>
      </w:r>
    </w:p>
    <w:p w14:paraId="10405841" w14:textId="77777777" w:rsidR="008E1991" w:rsidRDefault="00000000">
      <w:pPr>
        <w:numPr>
          <w:ilvl w:val="0"/>
          <w:numId w:val="1"/>
        </w:numPr>
        <w:spacing w:after="59" w:line="249" w:lineRule="auto"/>
        <w:ind w:hanging="199"/>
      </w:pPr>
      <w:r>
        <w:rPr>
          <w:sz w:val="21"/>
        </w:rPr>
        <w:t xml:space="preserve">Section 4 is honest. An answer with no downside listed has not thought hard enough. </w:t>
      </w:r>
    </w:p>
    <w:p w14:paraId="0F866858" w14:textId="77777777" w:rsidR="008E1991" w:rsidRDefault="00000000">
      <w:pPr>
        <w:numPr>
          <w:ilvl w:val="0"/>
          <w:numId w:val="1"/>
        </w:numPr>
        <w:spacing w:after="293" w:line="249" w:lineRule="auto"/>
        <w:ind w:hanging="199"/>
      </w:pPr>
      <w:r>
        <w:rPr>
          <w:sz w:val="21"/>
        </w:rPr>
        <w:t xml:space="preserve">The diagram is small and supports the argument. One package or deployment sketch is plenty. </w:t>
      </w:r>
    </w:p>
    <w:p w14:paraId="325DAA52" w14:textId="77777777" w:rsidR="008E1991" w:rsidRDefault="00000000">
      <w:pPr>
        <w:pStyle w:val="Heading1"/>
        <w:ind w:left="-5"/>
      </w:pPr>
      <w:r>
        <w:t>What a weak answer looks like</w:t>
      </w:r>
      <w:r>
        <w:rPr>
          <w:b w:val="0"/>
          <w:color w:val="000000"/>
          <w:sz w:val="21"/>
        </w:rPr>
        <w:t xml:space="preserve"> </w:t>
      </w:r>
    </w:p>
    <w:p w14:paraId="4E5BE806" w14:textId="77777777" w:rsidR="008E1991" w:rsidRDefault="00000000">
      <w:pPr>
        <w:numPr>
          <w:ilvl w:val="0"/>
          <w:numId w:val="2"/>
        </w:numPr>
        <w:spacing w:after="67" w:line="239" w:lineRule="auto"/>
        <w:ind w:hanging="199"/>
      </w:pPr>
      <w:r>
        <w:rPr>
          <w:i/>
          <w:sz w:val="21"/>
        </w:rPr>
        <w:t xml:space="preserve">“I chose layered architecture because it is best practice.” </w:t>
      </w:r>
      <w:r>
        <w:rPr>
          <w:sz w:val="21"/>
        </w:rPr>
        <w:t xml:space="preserve">— best practice for whom, forced by which requirement? </w:t>
      </w:r>
    </w:p>
    <w:p w14:paraId="36E11F06" w14:textId="77777777" w:rsidR="008E1991" w:rsidRDefault="00000000">
      <w:pPr>
        <w:numPr>
          <w:ilvl w:val="0"/>
          <w:numId w:val="2"/>
        </w:numPr>
        <w:spacing w:after="59" w:line="249" w:lineRule="auto"/>
        <w:ind w:hanging="199"/>
      </w:pPr>
      <w:r>
        <w:rPr>
          <w:i/>
          <w:sz w:val="21"/>
        </w:rPr>
        <w:t xml:space="preserve">“PNG has bad </w:t>
      </w:r>
      <w:proofErr w:type="gramStart"/>
      <w:r>
        <w:rPr>
          <w:i/>
          <w:sz w:val="21"/>
        </w:rPr>
        <w:t>internet</w:t>
      </w:r>
      <w:proofErr w:type="gramEnd"/>
      <w:r>
        <w:rPr>
          <w:i/>
          <w:sz w:val="21"/>
        </w:rPr>
        <w:t xml:space="preserve"> so I made it offline.” </w:t>
      </w:r>
      <w:r>
        <w:rPr>
          <w:sz w:val="21"/>
        </w:rPr>
        <w:t xml:space="preserve">— which requirement, which alternative rejected, at what cost? </w:t>
      </w:r>
    </w:p>
    <w:p w14:paraId="756FF1C8" w14:textId="77777777" w:rsidR="008E1991" w:rsidRDefault="00000000">
      <w:pPr>
        <w:numPr>
          <w:ilvl w:val="0"/>
          <w:numId w:val="2"/>
        </w:numPr>
        <w:spacing w:after="0"/>
        <w:ind w:hanging="199"/>
      </w:pPr>
      <w:r>
        <w:rPr>
          <w:i/>
          <w:sz w:val="21"/>
        </w:rPr>
        <w:t>A large diagram with no argument attached.</w:t>
      </w:r>
      <w:r>
        <w:rPr>
          <w:sz w:val="21"/>
        </w:rPr>
        <w:t xml:space="preserve"> </w:t>
      </w:r>
    </w:p>
    <w:p w14:paraId="629B863B" w14:textId="77777777" w:rsidR="008E1991" w:rsidRDefault="00000000">
      <w:pPr>
        <w:pBdr>
          <w:top w:val="single" w:sz="4" w:space="0" w:color="C9A227"/>
          <w:left w:val="single" w:sz="4" w:space="0" w:color="C9A227"/>
          <w:bottom w:val="single" w:sz="4" w:space="0" w:color="C9A227"/>
          <w:right w:val="single" w:sz="4" w:space="0" w:color="C9A227"/>
        </w:pBdr>
        <w:shd w:val="clear" w:color="auto" w:fill="F4F7FC"/>
        <w:spacing w:after="149" w:line="239" w:lineRule="auto"/>
        <w:ind w:left="185"/>
      </w:pPr>
      <w:r>
        <w:rPr>
          <w:b/>
          <w:sz w:val="21"/>
        </w:rPr>
        <w:t xml:space="preserve">Feedback: </w:t>
      </w:r>
      <w:r>
        <w:rPr>
          <w:sz w:val="21"/>
        </w:rPr>
        <w:t xml:space="preserve">this is ungraded, but written feedback returns before the Week 7 clinic so you can carry it into Task 2 Part 2 and Task 4. The habit being built — decision, driver, alternative, cost — is exactly how the Task 4 rubric reads. </w:t>
      </w:r>
    </w:p>
    <w:p w14:paraId="037979F3" w14:textId="77777777" w:rsidR="008E1991" w:rsidRDefault="00000000">
      <w:pPr>
        <w:spacing w:after="0"/>
      </w:pPr>
      <w:r>
        <w:rPr>
          <w:sz w:val="21"/>
        </w:rPr>
        <w:t xml:space="preserve"> </w:t>
      </w:r>
    </w:p>
    <w:sectPr w:rsidR="008E1991">
      <w:pgSz w:w="11906" w:h="16838"/>
      <w:pgMar w:top="1115" w:right="1509" w:bottom="1670"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E7997"/>
    <w:multiLevelType w:val="hybridMultilevel"/>
    <w:tmpl w:val="BE4E5920"/>
    <w:lvl w:ilvl="0" w:tplc="A23C5070">
      <w:start w:val="1"/>
      <w:numFmt w:val="bullet"/>
      <w:lvlText w:val="•"/>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B36C3A2">
      <w:start w:val="1"/>
      <w:numFmt w:val="bullet"/>
      <w:lvlText w:val="o"/>
      <w:lvlJc w:val="left"/>
      <w:pPr>
        <w:ind w:left="1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FA28302">
      <w:start w:val="1"/>
      <w:numFmt w:val="bullet"/>
      <w:lvlText w:val="▪"/>
      <w:lvlJc w:val="left"/>
      <w:pPr>
        <w:ind w:left="1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12A58AC">
      <w:start w:val="1"/>
      <w:numFmt w:val="bullet"/>
      <w:lvlText w:val="•"/>
      <w:lvlJc w:val="left"/>
      <w:pPr>
        <w:ind w:left="2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12A6EA8">
      <w:start w:val="1"/>
      <w:numFmt w:val="bullet"/>
      <w:lvlText w:val="o"/>
      <w:lvlJc w:val="left"/>
      <w:pPr>
        <w:ind w:left="3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0DC744E">
      <w:start w:val="1"/>
      <w:numFmt w:val="bullet"/>
      <w:lvlText w:val="▪"/>
      <w:lvlJc w:val="left"/>
      <w:pPr>
        <w:ind w:left="4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B4C1322">
      <w:start w:val="1"/>
      <w:numFmt w:val="bullet"/>
      <w:lvlText w:val="•"/>
      <w:lvlJc w:val="left"/>
      <w:pPr>
        <w:ind w:left="48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59A81E8">
      <w:start w:val="1"/>
      <w:numFmt w:val="bullet"/>
      <w:lvlText w:val="o"/>
      <w:lvlJc w:val="left"/>
      <w:pPr>
        <w:ind w:left="55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2AA48A8">
      <w:start w:val="1"/>
      <w:numFmt w:val="bullet"/>
      <w:lvlText w:val="▪"/>
      <w:lvlJc w:val="left"/>
      <w:pPr>
        <w:ind w:left="62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51351FD1"/>
    <w:multiLevelType w:val="hybridMultilevel"/>
    <w:tmpl w:val="C6AE7B70"/>
    <w:lvl w:ilvl="0" w:tplc="098A326A">
      <w:start w:val="1"/>
      <w:numFmt w:val="bullet"/>
      <w:lvlText w:val="•"/>
      <w:lvlJc w:val="left"/>
      <w:pPr>
        <w:ind w:left="34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E12C28A">
      <w:start w:val="1"/>
      <w:numFmt w:val="bullet"/>
      <w:lvlText w:val="o"/>
      <w:lvlJc w:val="left"/>
      <w:pPr>
        <w:ind w:left="1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9E6F00C">
      <w:start w:val="1"/>
      <w:numFmt w:val="bullet"/>
      <w:lvlText w:val="▪"/>
      <w:lvlJc w:val="left"/>
      <w:pPr>
        <w:ind w:left="1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23660A6">
      <w:start w:val="1"/>
      <w:numFmt w:val="bullet"/>
      <w:lvlText w:val="•"/>
      <w:lvlJc w:val="left"/>
      <w:pPr>
        <w:ind w:left="2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BA495AC">
      <w:start w:val="1"/>
      <w:numFmt w:val="bullet"/>
      <w:lvlText w:val="o"/>
      <w:lvlJc w:val="left"/>
      <w:pPr>
        <w:ind w:left="3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7184A5E">
      <w:start w:val="1"/>
      <w:numFmt w:val="bullet"/>
      <w:lvlText w:val="▪"/>
      <w:lvlJc w:val="left"/>
      <w:pPr>
        <w:ind w:left="4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278DFF0">
      <w:start w:val="1"/>
      <w:numFmt w:val="bullet"/>
      <w:lvlText w:val="•"/>
      <w:lvlJc w:val="left"/>
      <w:pPr>
        <w:ind w:left="48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B4262A6">
      <w:start w:val="1"/>
      <w:numFmt w:val="bullet"/>
      <w:lvlText w:val="o"/>
      <w:lvlJc w:val="left"/>
      <w:pPr>
        <w:ind w:left="55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452E534">
      <w:start w:val="1"/>
      <w:numFmt w:val="bullet"/>
      <w:lvlText w:val="▪"/>
      <w:lvlJc w:val="left"/>
      <w:pPr>
        <w:ind w:left="62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815945685">
    <w:abstractNumId w:val="1"/>
  </w:num>
  <w:num w:numId="2" w16cid:durableId="559243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991"/>
    <w:rsid w:val="00042512"/>
    <w:rsid w:val="002424AE"/>
    <w:rsid w:val="00254075"/>
    <w:rsid w:val="00840204"/>
    <w:rsid w:val="008E1991"/>
    <w:rsid w:val="008E28EA"/>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F6D12"/>
  <w15:docId w15:val="{AFBF77AC-5E64-4DAF-9154-462D88666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G" w:eastAsia="en-P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1" w:line="259" w:lineRule="auto"/>
      <w:ind w:left="10" w:hanging="10"/>
      <w:outlineLvl w:val="0"/>
    </w:pPr>
    <w:rPr>
      <w:rFonts w:ascii="Calibri" w:eastAsia="Calibri" w:hAnsi="Calibri" w:cs="Calibri"/>
      <w:b/>
      <w:color w:val="1B2A4A"/>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B2A4A"/>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519</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Raygan Kuta</cp:lastModifiedBy>
  <cp:revision>5</cp:revision>
  <dcterms:created xsi:type="dcterms:W3CDTF">2026-09-08T03:35:00Z</dcterms:created>
  <dcterms:modified xsi:type="dcterms:W3CDTF">2026-09-08T03:48:00Z</dcterms:modified>
</cp:coreProperties>
</file>