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lineRule="auto"/>
        <w:jc w:val="center"/>
      </w:pPr>
      <w:r>
        <w:rPr>
          <w:rFonts w:ascii="Times New Roman" w:cs="Times New Roman" w:eastAsia="Times New Roman" w:hAnsi="Times New Roman"/>
          <w:b/>
          <w:bCs/>
          <w:sz w:val="28"/>
          <w:szCs w:val="28"/>
        </w:rPr>
        <w:t xml:space="preserve">НАЦИОНАЛЬНЫЙ ИССЛЕДОВАТЕЛЬСКИЙ ТЕХНОЛОГИЧЕСКИЙ УНИВЕРСИТЕТ «МИСИС»</w:t>
      </w:r>
    </w:p>
    <w:p>
      <w:pPr>
        <w:spacing w:after="200"/>
      </w:pPr>
    </w:p>
    <w:p>
      <w:pPr>
        <w:spacing w:after="60" w:line="276" w:lineRule="auto"/>
        <w:jc w:val="center"/>
      </w:pPr>
      <w:r>
        <w:rPr>
          <w:rFonts w:ascii="Times New Roman" w:cs="Times New Roman" w:eastAsia="Times New Roman" w:hAnsi="Times New Roman"/>
          <w:i/>
          <w:iCs/>
          <w:sz w:val="24"/>
          <w:szCs w:val="24"/>
        </w:rPr>
        <w:t xml:space="preserve">Институт информационных технологий и компьютерных наук</w:t>
      </w:r>
    </w:p>
    <w:p>
      <w:pPr>
        <w:spacing w:after="900" w:line="276" w:lineRule="auto"/>
        <w:jc w:val="center"/>
      </w:pPr>
      <w:r>
        <w:rPr>
          <w:rFonts w:ascii="Times New Roman" w:cs="Times New Roman" w:eastAsia="Times New Roman" w:hAnsi="Times New Roman"/>
          <w:i/>
          <w:iCs/>
          <w:sz w:val="24"/>
          <w:szCs w:val="24"/>
        </w:rPr>
        <w:t xml:space="preserve">Кафедра инженерной кибернетики</w:t>
      </w:r>
    </w:p>
    <w:p>
      <w:pPr>
        <w:spacing w:after="900" w:line="276" w:lineRule="auto"/>
        <w:jc w:val="center"/>
      </w:pPr>
      <w:r>
        <w:rPr>
          <w:rFonts w:ascii="Times New Roman" w:cs="Times New Roman" w:eastAsia="Times New Roman" w:hAnsi="Times New Roman"/>
          <w:b/>
          <w:bCs/>
          <w:sz w:val="28"/>
          <w:szCs w:val="28"/>
        </w:rPr>
        <w:t xml:space="preserve">Отчёт о производственной практике</w:t>
      </w:r>
    </w:p>
    <w:p>
      <w:pPr>
        <w:spacing w:after="60" w:line="276" w:lineRule="auto"/>
        <w:jc w:val="left"/>
      </w:pPr>
      <w:r>
        <w:rPr>
          <w:rFonts w:ascii="Times New Roman" w:cs="Times New Roman" w:eastAsia="Times New Roman" w:hAnsi="Times New Roman"/>
          <w:sz w:val="24"/>
          <w:szCs w:val="24"/>
        </w:rPr>
        <w:t xml:space="preserve">Выполнил учащийся:
([ФИО студента])</w:t>
      </w:r>
    </w:p>
    <w:p>
      <w:pPr>
        <w:spacing w:after="900" w:line="276" w:lineRule="auto"/>
        <w:jc w:val="left"/>
      </w:pPr>
      <w:r>
        <w:rPr>
          <w:rFonts w:ascii="Times New Roman" w:cs="Times New Roman" w:eastAsia="Times New Roman" w:hAnsi="Times New Roman"/>
          <w:sz w:val="24"/>
          <w:szCs w:val="24"/>
        </w:rPr>
        <w:t xml:space="preserve">группа [номер группы]</w:t>
      </w:r>
    </w:p>
    <w:p>
      <w:pPr>
        <w:spacing w:after="900" w:line="276" w:lineRule="auto"/>
        <w:jc w:val="left"/>
      </w:pPr>
      <w:r>
        <w:rPr>
          <w:rFonts w:ascii="Times New Roman" w:cs="Times New Roman" w:eastAsia="Times New Roman" w:hAnsi="Times New Roman"/>
          <w:sz w:val="24"/>
          <w:szCs w:val="24"/>
        </w:rPr>
        <w:t xml:space="preserve">Руководитель практики:
[учёная степень, звание, ФИО]</w:t>
      </w:r>
    </w:p>
    <w:p>
      <w:pPr>
        <w:spacing w:after="0" w:line="276" w:lineRule="auto"/>
        <w:jc w:val="center"/>
      </w:pPr>
      <w:r>
        <w:rPr>
          <w:rFonts w:ascii="Times New Roman" w:cs="Times New Roman" w:eastAsia="Times New Roman" w:hAnsi="Times New Roman"/>
          <w:sz w:val="24"/>
          <w:szCs w:val="24"/>
        </w:rPr>
        <w:t xml:space="preserve">Москва</w:t>
      </w:r>
    </w:p>
    <w:p>
      <w:pPr>
        <w:spacing w:after="0" w:line="276" w:lineRule="auto"/>
        <w:jc w:val="center"/>
      </w:pPr>
      <w:r>
        <w:rPr>
          <w:rFonts w:ascii="Times New Roman" w:cs="Times New Roman" w:eastAsia="Times New Roman" w:hAnsi="Times New Roman"/>
          <w:sz w:val="24"/>
          <w:szCs w:val="24"/>
        </w:rPr>
        <w:t xml:space="preserve">2026 год</w:t>
      </w:r>
    </w:p>
    <w:p>
      <w:r>
        <w:br w:type="page"/>
      </w:r>
    </w:p>
    <w:p>
      <w:pPr>
        <w:pStyle w:val="Heading1"/>
        <w:spacing w:after="160" w:before="360" w:line="276" w:lineRule="auto"/>
      </w:pPr>
      <w:r>
        <w:rPr>
          <w:rFonts w:ascii="Times New Roman" w:cs="Times New Roman" w:eastAsia="Times New Roman" w:hAnsi="Times New Roman"/>
          <w:b/>
          <w:bCs/>
          <w:sz w:val="28"/>
          <w:szCs w:val="28"/>
        </w:rPr>
        <w:t xml:space="preserve">Оглавление</w:t>
      </w:r>
    </w:p>
    <w:sdt>
      <w:sdtPr>
        <w:alias w:val="Оглавление"/>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line="276" w:lineRule="auto"/>
      </w:pPr>
      <w:r>
        <w:rPr>
          <w:rFonts w:ascii="Times New Roman" w:cs="Times New Roman" w:eastAsia="Times New Roman" w:hAnsi="Times New Roman"/>
          <w:b/>
          <w:bCs/>
          <w:sz w:val="28"/>
          <w:szCs w:val="28"/>
        </w:rPr>
        <w:t xml:space="preserve">Введение</w:t>
      </w:r>
    </w:p>
    <w:p>
      <w:pPr>
        <w:pStyle w:val="Heading2"/>
        <w:spacing w:after="140" w:before="280" w:line="276" w:lineRule="auto"/>
      </w:pPr>
      <w:r>
        <w:rPr>
          <w:rFonts w:ascii="Times New Roman" w:cs="Times New Roman" w:eastAsia="Times New Roman" w:hAnsi="Times New Roman"/>
          <w:b/>
          <w:bCs/>
          <w:sz w:val="26"/>
          <w:szCs w:val="26"/>
        </w:rPr>
        <w:t xml:space="preserve">Цели и сроки проведения производственной практики согласно рабочей программе дисциплины</w:t>
      </w:r>
    </w:p>
    <w:p>
      <w:pPr>
        <w:spacing w:after="120" w:line="276" w:lineRule="auto"/>
        <w:ind w:firstLine="454"/>
        <w:jc w:val="both"/>
      </w:pPr>
      <w:r>
        <w:rPr>
          <w:rFonts w:ascii="Times New Roman" w:cs="Times New Roman" w:eastAsia="Times New Roman" w:hAnsi="Times New Roman"/>
          <w:sz w:val="24"/>
          <w:szCs w:val="24"/>
        </w:rPr>
        <w:t xml:space="preserve">Производственная практика направлена на закрепление и углубление теоретической подготовки обучающегося по направлению «Искусственный интеллект и машинное обучение», приобретение практических умений и опыта решения задач сбора, обработки и анализа данных для целей антифрод-детекции, а также на подготовку исследовательского датасета, пригодного для последующего применения методов машинного обучения.</w:t>
      </w:r>
    </w:p>
    <w:p>
      <w:pPr>
        <w:spacing w:after="120" w:line="276" w:lineRule="auto"/>
        <w:ind w:firstLine="454"/>
        <w:jc w:val="both"/>
      </w:pPr>
      <w:r>
        <w:rPr>
          <w:rFonts w:ascii="Times New Roman" w:cs="Times New Roman" w:eastAsia="Times New Roman" w:hAnsi="Times New Roman"/>
          <w:sz w:val="24"/>
          <w:szCs w:val="24"/>
        </w:rPr>
        <w:t xml:space="preserve">Сроки практики: 29.06.2026 – 26.07.2026 (индивидуальная форма).</w:t>
      </w:r>
    </w:p>
    <w:p>
      <w:pPr>
        <w:pStyle w:val="Heading2"/>
        <w:spacing w:after="140" w:before="280" w:line="276" w:lineRule="auto"/>
      </w:pPr>
      <w:r>
        <w:rPr>
          <w:rFonts w:ascii="Times New Roman" w:cs="Times New Roman" w:eastAsia="Times New Roman" w:hAnsi="Times New Roman"/>
          <w:b/>
          <w:bCs/>
          <w:sz w:val="26"/>
          <w:szCs w:val="26"/>
        </w:rPr>
        <w:t xml:space="preserve">Тема производственной практики в 2026 году</w:t>
      </w:r>
    </w:p>
    <w:p>
      <w:pPr>
        <w:spacing w:after="120" w:line="276" w:lineRule="auto"/>
        <w:ind w:firstLine="454"/>
        <w:jc w:val="both"/>
      </w:pPr>
      <w:r>
        <w:rPr>
          <w:rFonts w:ascii="Times New Roman" w:cs="Times New Roman" w:eastAsia="Times New Roman" w:hAnsi="Times New Roman"/>
          <w:sz w:val="24"/>
          <w:szCs w:val="24"/>
        </w:rPr>
        <w:t xml:space="preserve">«Аналитика и сбор из открытых источников реквизитов платёжного мошенничества (реквизиты дропов) для задач антифрод-мониторинга».</w:t>
      </w:r>
    </w:p>
    <w:p>
      <w:pPr>
        <w:pStyle w:val="Heading2"/>
        <w:spacing w:after="140" w:before="280" w:line="276" w:lineRule="auto"/>
      </w:pPr>
      <w:r>
        <w:rPr>
          <w:rFonts w:ascii="Times New Roman" w:cs="Times New Roman" w:eastAsia="Times New Roman" w:hAnsi="Times New Roman"/>
          <w:b/>
          <w:bCs/>
          <w:sz w:val="26"/>
          <w:szCs w:val="26"/>
        </w:rPr>
        <w:t xml:space="preserve">Задачи производственной практики</w:t>
      </w:r>
    </w:p>
    <w:p>
      <w:pPr>
        <w:spacing w:after="120" w:line="276" w:lineRule="auto"/>
        <w:jc w:val="both"/>
      </w:pPr>
      <w:r>
        <w:rPr>
          <w:rFonts w:ascii="Times New Roman" w:cs="Times New Roman" w:eastAsia="Times New Roman" w:hAnsi="Times New Roman"/>
          <w:sz w:val="24"/>
          <w:szCs w:val="24"/>
        </w:rPr>
        <w:t xml:space="preserve">В процессе прохождения практики поставлены следующие задачи:</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обзор предметной области: дропперство, P2P-процессинг, антифрод-мониторинг, роль машинного обучения;</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реализация конвейера: сбор данных с публичных страниц → нормализация реквизитов (валидация по алгоритму Луна, извлечение BIN, определение платёжной системы, приведение телефонов к каноническому виду) → обезличенное хранение → агрегатная аналитика;</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соблюдение строгих ограничений: сбор только с публичных страниц, соблюдение robots.txt, без обхода авторизации; обработка персональных данных согласно Федеральному закону № 152-ФЗ «О персональных данных» — сырые реквизиты хранятся только локально, в отчёт, логи и графики попадают только маскированные значения и агрегаты.</w:t>
      </w:r>
    </w:p>
    <w:p>
      <w:pPr>
        <w:pStyle w:val="Heading2"/>
        <w:spacing w:after="140" w:before="280" w:line="276" w:lineRule="auto"/>
      </w:pPr>
      <w:r>
        <w:rPr>
          <w:rFonts w:ascii="Times New Roman" w:cs="Times New Roman" w:eastAsia="Times New Roman" w:hAnsi="Times New Roman"/>
          <w:b/>
          <w:bCs/>
          <w:sz w:val="26"/>
          <w:szCs w:val="26"/>
        </w:rPr>
        <w:t xml:space="preserve">Актуальность темы</w:t>
      </w:r>
    </w:p>
    <w:p>
      <w:pPr>
        <w:spacing w:after="120" w:line="276" w:lineRule="auto"/>
        <w:ind w:firstLine="454"/>
        <w:jc w:val="both"/>
      </w:pPr>
      <w:r>
        <w:rPr>
          <w:rFonts w:ascii="Times New Roman" w:cs="Times New Roman" w:eastAsia="Times New Roman" w:hAnsi="Times New Roman"/>
          <w:sz w:val="24"/>
          <w:szCs w:val="24"/>
        </w:rPr>
        <w:t xml:space="preserve">Актуальность обусловлена ростом масштабов платёжного мошенничества, связанного с нелегальными P2P-переводами в пользу теневого гемблинга. Ключевым звеном таких схем выступают «дропы» — физические лица, чьи банковские карты и привязанные к Системе быстрых платежей (СБП) номера телефонов используются для приёма и транзита средств. Кредитные организации и процессинговые центры обязаны выявлять подозрительные операции, для чего востребованы автоматизированные антифрод-индикаторы, в том числе основанные на открытых реестрах уже выявленных дроп-реквизитов. Ценность настоящей работы — не в дублировании (дампе) реквизитов, а в их структурировании, обогащении признаками и обезличивании с последующей агрегатной аналитикой, пригодной как отправная точка для задач детекции счетов-посредников («мулов») методами машинного обучения.</w:t>
      </w:r>
    </w:p>
    <w:p>
      <w:r>
        <w:br w:type="page"/>
      </w:r>
    </w:p>
    <w:p>
      <w:pPr>
        <w:pStyle w:val="Heading1"/>
        <w:spacing w:after="160" w:before="360" w:line="276" w:lineRule="auto"/>
      </w:pPr>
      <w:r>
        <w:rPr>
          <w:rFonts w:ascii="Times New Roman" w:cs="Times New Roman" w:eastAsia="Times New Roman" w:hAnsi="Times New Roman"/>
          <w:b/>
          <w:bCs/>
          <w:sz w:val="28"/>
          <w:szCs w:val="28"/>
        </w:rPr>
        <w:t xml:space="preserve">Разработка конвейера сбора и обезличенной аналитики открытых индикаторов платёжного мошенничества</w:t>
      </w:r>
    </w:p>
    <w:p>
      <w:pPr>
        <w:pStyle w:val="Heading2"/>
        <w:spacing w:after="140" w:before="280" w:line="276" w:lineRule="auto"/>
      </w:pPr>
      <w:r>
        <w:rPr>
          <w:rFonts w:ascii="Times New Roman" w:cs="Times New Roman" w:eastAsia="Times New Roman" w:hAnsi="Times New Roman"/>
          <w:b/>
          <w:bCs/>
          <w:sz w:val="26"/>
          <w:szCs w:val="26"/>
        </w:rPr>
        <w:t xml:space="preserve">Дропперство и P2P-процессинг</w:t>
      </w:r>
    </w:p>
    <w:p>
      <w:pPr>
        <w:spacing w:after="120" w:line="276" w:lineRule="auto"/>
        <w:ind w:firstLine="454"/>
        <w:jc w:val="both"/>
      </w:pPr>
      <w:r>
        <w:rPr>
          <w:rFonts w:ascii="Times New Roman" w:cs="Times New Roman" w:eastAsia="Times New Roman" w:hAnsi="Times New Roman"/>
          <w:sz w:val="24"/>
          <w:szCs w:val="24"/>
        </w:rPr>
        <w:t xml:space="preserve">Дроппер («дроп») — физическое лицо, предоставляющее свои платёжные реквизиты (банковскую карту, номер телефона, привязанный к СБП) для приёма и дальнейшего транзита денежных средств третьих лиц, как правило за вознаграждение. В схемах нелегального гемблинга дроп-реквизиты используются как промежуточное звено между игроком и оператором казино/букмекера, позволяющее обходить блокировки прямых платежей и затруднять атрибуцию получателя средств. P2P-переводы (card-to-card, СБП-переводы по номеру телефона) для таких схем предпочтительны из-за скорости, низкой стоимости и формальной неотличимости от обычных бытовых переводов между физическими лицами.</w:t>
      </w:r>
    </w:p>
    <w:p>
      <w:pPr>
        <w:spacing w:after="120" w:line="276" w:lineRule="auto"/>
        <w:ind w:firstLine="454"/>
        <w:jc w:val="both"/>
      </w:pPr>
      <w:r>
        <w:rPr>
          <w:rFonts w:ascii="Times New Roman" w:cs="Times New Roman" w:eastAsia="Times New Roman" w:hAnsi="Times New Roman"/>
          <w:sz w:val="24"/>
          <w:szCs w:val="24"/>
        </w:rPr>
        <w:t xml:space="preserve">Ответной мерой сообщества антифрод-специалистов и самих платёжных систем/банков стало ведение открытых («народных») реестров уже выявленных дроп-реквизитов — списков номеров карт и телефонов, замеченных в расчётах с нелегальными операторами. Ресурс platshield.com — один из таких открытых реестров: публикует списки («листы») по периодам (обычно помесячно), с разбивкой на вкладки «номера карт» и «номера СБП», а также сопутствующие поля (название площадки, зеркало, платёжный шлюз, ФИО получателя, название банка/оператора).</w:t>
      </w:r>
    </w:p>
    <w:p>
      <w:pPr>
        <w:pStyle w:val="Heading2"/>
        <w:spacing w:after="140" w:before="280" w:line="276" w:lineRule="auto"/>
      </w:pPr>
      <w:r>
        <w:rPr>
          <w:rFonts w:ascii="Times New Roman" w:cs="Times New Roman" w:eastAsia="Times New Roman" w:hAnsi="Times New Roman"/>
          <w:b/>
          <w:bCs/>
          <w:sz w:val="26"/>
          <w:szCs w:val="26"/>
        </w:rPr>
        <w:t xml:space="preserve">Открытые источники данных и их ограничения</w:t>
      </w:r>
    </w:p>
    <w:p>
      <w:pPr>
        <w:spacing w:after="120" w:line="276" w:lineRule="auto"/>
        <w:ind w:firstLine="454"/>
        <w:jc w:val="both"/>
      </w:pPr>
      <w:r>
        <w:rPr>
          <w:rFonts w:ascii="Times New Roman" w:cs="Times New Roman" w:eastAsia="Times New Roman" w:hAnsi="Times New Roman"/>
          <w:sz w:val="24"/>
          <w:szCs w:val="24"/>
        </w:rPr>
        <w:t xml:space="preserve">Использование подобных открытых реестров как источника исследовательских данных сопряжено с рядом ограничений. Во-первых, юридико-технических: правомерен только сбор с публичных, не защищённых авторизацией страниц, с соблюдением файла robots.txt и вежливым троттлингом запросов — любой обход капчи, авторизации или технических ограничений выходит за рамки допустимого и не применялся в настоящей работе (см. «Политика обхода» ниже).</w:t>
      </w:r>
    </w:p>
    <w:p>
      <w:pPr>
        <w:spacing w:after="120" w:line="276" w:lineRule="auto"/>
        <w:ind w:firstLine="454"/>
        <w:jc w:val="both"/>
      </w:pPr>
      <w:r>
        <w:rPr>
          <w:rFonts w:ascii="Times New Roman" w:cs="Times New Roman" w:eastAsia="Times New Roman" w:hAnsi="Times New Roman"/>
          <w:sz w:val="24"/>
          <w:szCs w:val="24"/>
        </w:rPr>
        <w:t xml:space="preserve">Во-вторых, ограничений по качеству данных. Подобные реестры заполняются вручную операторами антифрод-сообщества, что закономерно порождает ошибки разметки. В настоящей работе непосредственно обнаружены следующие классы таких ошибок в исходных данных: (а) значение колонки «название банка» иногда фактически содержит ФИО получателя вместо названия банка — вероятно, из-за различий в заполнении карточных и телефонных записей источника; (б) значения полей «зеркало» и «платёжная система» иногда содержат прямое ФИО вместо URL, либо легитимный URL с ФИО и телефоном получателя прямо в query-параметрах; (в) в поле ФИО иногда встречается техническая аннотация («Иванов Иван (Альфа-банк)», «Иванов Иван, не переводить на другой банк») вместо чистого имени; (г) единичные опечатки в датах записей (например, «26.05.2038» и «05.06.2040» внутри вкладок за 2025 год), искажающие анализ динамики во времени, если их не отфильтровать. Все перечисленные случаи обработаны защитным кодом на этапе нормализации и экспорта (см. «Хранение и обезличивание» ниже) и задокументированы как эмпирические находки в исходном коде и тестах проекта.</w:t>
      </w:r>
    </w:p>
    <w:p>
      <w:pPr>
        <w:spacing w:after="120" w:line="276" w:lineRule="auto"/>
        <w:ind w:firstLine="454"/>
        <w:jc w:val="both"/>
      </w:pPr>
      <w:r>
        <w:rPr>
          <w:rFonts w:ascii="Times New Roman" w:cs="Times New Roman" w:eastAsia="Times New Roman" w:hAnsi="Times New Roman"/>
          <w:sz w:val="24"/>
          <w:szCs w:val="24"/>
        </w:rPr>
        <w:t xml:space="preserve">В-третьих, ограничений по полноте: наблюдаемое покрытие данных не непрерывно во времени, а состоит из отдельных периодов («островов») — это отражает то, что реестр и его архив снимались периодическими снапшотами, а не мониторились день в день. При построении временных графиков это обстоятельство учтено явно: периоды без наблюдений исключаются из агрегатов вместо того, чтобы интерпретироваться как «ноль новых записей».</w:t>
      </w:r>
    </w:p>
    <w:p>
      <w:pPr>
        <w:pStyle w:val="Heading2"/>
        <w:spacing w:after="140" w:before="280" w:line="276" w:lineRule="auto"/>
      </w:pPr>
      <w:r>
        <w:rPr>
          <w:rFonts w:ascii="Times New Roman" w:cs="Times New Roman" w:eastAsia="Times New Roman" w:hAnsi="Times New Roman"/>
          <w:b/>
          <w:bCs/>
          <w:sz w:val="26"/>
          <w:szCs w:val="26"/>
        </w:rPr>
        <w:t xml:space="preserve">Место машинного обучения в антифрод-детекции</w:t>
      </w:r>
    </w:p>
    <w:p>
      <w:pPr>
        <w:spacing w:after="120" w:line="276" w:lineRule="auto"/>
        <w:ind w:firstLine="454"/>
        <w:jc w:val="both"/>
      </w:pPr>
      <w:r>
        <w:rPr>
          <w:rFonts w:ascii="Times New Roman" w:cs="Times New Roman" w:eastAsia="Times New Roman" w:hAnsi="Times New Roman"/>
          <w:sz w:val="24"/>
          <w:szCs w:val="24"/>
        </w:rPr>
        <w:t xml:space="preserve">Современные антифрод-системы всё активнее используют поведенческие и графовые признаки счетов-получателей вместо (или в дополнение к) статичным чёрным спискам: частоту повторного появления одного и того же реквизита в разных транзакциях/источниках, скорость оборота средств, связность с другими подозрительными реквизитами через общие площадки/платёжные шлюзы. Для таких задач принципиально важно не терять сигнал повторяемости при дедупликации данных: если один и тот же номер карты или телефона законно встречается в разных строках источника (разные даты, разные площадки), это само по себе значимый признак для будущей модели детекции «мулов», и схлопывание таких повторов в единственную запись означало бы потерю полезного сигнала. Поэтому в настоящей работе дедупликация при хранении сделана по позиции строки в источнике (SHA-256 от связки лист/вкладка/номер строки), а не по значению card/phone.</w:t>
      </w:r>
    </w:p>
    <w:p>
      <w:pPr>
        <w:pStyle w:val="Heading2"/>
        <w:spacing w:after="140" w:before="280" w:line="276" w:lineRule="auto"/>
      </w:pPr>
      <w:r>
        <w:rPr>
          <w:rFonts w:ascii="Times New Roman" w:cs="Times New Roman" w:eastAsia="Times New Roman" w:hAnsi="Times New Roman"/>
          <w:b/>
          <w:bCs/>
          <w:sz w:val="26"/>
          <w:szCs w:val="26"/>
        </w:rPr>
        <w:t xml:space="preserve">Постановка задачи и ограничения</w:t>
      </w:r>
    </w:p>
    <w:p>
      <w:pPr>
        <w:spacing w:after="120" w:line="276" w:lineRule="auto"/>
        <w:ind w:firstLine="454"/>
        <w:jc w:val="both"/>
      </w:pPr>
      <w:r>
        <w:rPr>
          <w:rFonts w:ascii="Times New Roman" w:cs="Times New Roman" w:eastAsia="Times New Roman" w:hAnsi="Times New Roman"/>
          <w:sz w:val="24"/>
          <w:szCs w:val="24"/>
        </w:rPr>
        <w:t xml:space="preserve">Цель работы — реализовать программный конвейер «сбор → нормализация → обезличенное хранение → агрегатная аналитика» открытых дроп-реквизитов, пригодный как основа исследовательского датасета для последующей детекции счетов-посредников методами машинного обучения.</w:t>
      </w:r>
    </w:p>
    <w:p>
      <w:pPr>
        <w:spacing w:after="120" w:line="276" w:lineRule="auto"/>
        <w:jc w:val="both"/>
      </w:pPr>
      <w:r>
        <w:rPr>
          <w:rFonts w:ascii="Times New Roman" w:cs="Times New Roman" w:eastAsia="Times New Roman" w:hAnsi="Times New Roman"/>
          <w:sz w:val="24"/>
          <w:szCs w:val="24"/>
        </w:rPr>
        <w:t xml:space="preserve">Обязательные ограничения (критерии приёмки, а не пожелания):</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только публичные страницы: никакого обхода авторизации, капчи, rate-limit и иных технических ограничений; разделы, требующие входа, вне области работы;</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соблюдение robots.txt, ограничение частоты запросов (не чаще одного запроса в 2 секунды), экспоненциальный backoff при ошибках, честный User-Agent с контактными данными;</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соответствие 152-ФЗ: полные номера карт, телефонов и ФИО хранятся только локально; во все внешние артефакты (логи, экспорт, графики, дашборд) попадают только маскированные или агрегированные значения; инструмент не публикует и не передаёт персональные данные третьим лицам;</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постановка задачи («сбор + обезличенная аналитика», а не «выгрузка живых номеров») согласована с научным руководителем практики до начала реального сбора данных.</w:t>
      </w:r>
    </w:p>
    <w:p>
      <w:pPr>
        <w:pStyle w:val="Heading2"/>
        <w:spacing w:after="140" w:before="280" w:line="276" w:lineRule="auto"/>
      </w:pPr>
      <w:r>
        <w:rPr>
          <w:rFonts w:ascii="Times New Roman" w:cs="Times New Roman" w:eastAsia="Times New Roman" w:hAnsi="Times New Roman"/>
          <w:b/>
          <w:bCs/>
          <w:sz w:val="26"/>
          <w:szCs w:val="26"/>
        </w:rPr>
        <w:t xml:space="preserve">Архитектура решения</w:t>
      </w:r>
    </w:p>
    <w:p>
      <w:pPr>
        <w:spacing w:after="120" w:line="276" w:lineRule="auto"/>
        <w:ind w:firstLine="454"/>
        <w:jc w:val="both"/>
      </w:pPr>
      <w:r>
        <w:rPr>
          <w:rFonts w:ascii="Times New Roman" w:cs="Times New Roman" w:eastAsia="Times New Roman" w:hAnsi="Times New Roman"/>
          <w:sz w:val="24"/>
          <w:szCs w:val="24"/>
        </w:rPr>
        <w:t xml:space="preserve">Конвейер реализован на Python 3.11 и состоит из независимых модулей с чёткой границей ответственности. `scraper.py` — базовые примитивы: вежливый HTTP-клиент `PoliteFetcher` (проверка robots.txt, троттлинг, backoff), валидация по алгоритму Луна, извлечение BIN, определение платёжной системы, нормализация телефона, маскирование значений. `sheet_collector.py` — сбор с реального публичного JSON API platshield.com (раздел «/sheets/»): постраничный обход вкладок листов, нормализация строки источника в структуру `SheetRecord`, хранение в SQLite (`SheetStorage`) и единственный разрешённый маршрут внешнего экспорта — `export_masked_csv`. `ingest_local_archive.py` — тот же нормализованный конвейер для случая, когда данные архива выгружает и передаёт сам пользователь. `monitor.py` — одноразовый CLI для периодического запуска по расписанию: сравнивает новый снимок с уже сохранённым по ключу идентичности и присылает обезличенный e-mail-алерт только по новым записям. `analyze.py`, `visualize.py` и `dashboard.py` — агрегатная аналитика и визуализация (статический экспорт графиков в PNG и интерактивный дашборд на Streamlit/Plotly), использующие один и тот же модуль агрегатов, чтобы дашборд и статический отчёт всегда показывали согласованные цифры. `build_features.py` — признаки уровня сущности для задачи детекции «мулов» (см. подраздел «Признаки для машинного обучения» ниже).</w:t>
      </w:r>
    </w:p>
    <w:p>
      <w:pPr>
        <w:pStyle w:val="Heading2"/>
        <w:spacing w:after="140" w:before="280" w:line="276" w:lineRule="auto"/>
      </w:pPr>
      <w:r>
        <w:rPr>
          <w:rFonts w:ascii="Times New Roman" w:cs="Times New Roman" w:eastAsia="Times New Roman" w:hAnsi="Times New Roman"/>
          <w:b/>
          <w:bCs/>
          <w:sz w:val="26"/>
          <w:szCs w:val="26"/>
        </w:rPr>
        <w:t xml:space="preserve">Политика обхода и правомерность сбора</w:t>
      </w:r>
    </w:p>
    <w:p>
      <w:pPr>
        <w:spacing w:after="120" w:line="276" w:lineRule="auto"/>
        <w:ind w:firstLine="454"/>
        <w:jc w:val="both"/>
      </w:pPr>
      <w:r>
        <w:rPr>
          <w:rFonts w:ascii="Times New Roman" w:cs="Times New Roman" w:eastAsia="Times New Roman" w:hAnsi="Times New Roman"/>
          <w:sz w:val="24"/>
          <w:szCs w:val="24"/>
        </w:rPr>
        <w:t xml:space="preserve">Перед реальным сбором данных проверен `robots.txt` целевого ресурса. Обнаружено явное запрещение для `User-agent: ClaudeBot` (`Disallow: /`) и метка `Content-Signal: ai-train=no`; общий `User-agent: *` разрешён, кроме разделов `/admin/` и `/api/`. В связи с прямым запретом для ClaudeBot реальные запросы к сайту выполнялись не от имени автоматического ИИ-агента, а через `PoliteFetcher`, запущенный с честным, самостоятельно определённым идентификатором `User-Agent` исследовательского характера с контактным адресом электронной почты — то есть под тем же общим правилом `User-agent: *`, которое сайт явно разрешает любому неавторизованному клиенту. Неоднозначность в отношении раздела `/api/` (технически разрешён правилами `robots.txt`, но текстуально соседствует с комментарием «Block admin area») была явно вынесена на согласование и подтверждена перед продолжением сбора. `PoliteFetcher` ограничивает частоту запросов (не чаще одного в 2 секунды) и применяет экспоненциальный backoff при ошибках/`429`; ни капча, ни авторизация, ни иные технические ограничения не обходились.</w:t>
      </w:r>
    </w:p>
    <w:p>
      <w:pPr>
        <w:spacing w:after="120" w:line="276" w:lineRule="auto"/>
        <w:ind w:firstLine="454"/>
        <w:jc w:val="both"/>
      </w:pPr>
      <w:r>
        <w:rPr>
          <w:rFonts w:ascii="Times New Roman" w:cs="Times New Roman" w:eastAsia="Times New Roman" w:hAnsi="Times New Roman"/>
          <w:sz w:val="24"/>
          <w:szCs w:val="24"/>
        </w:rPr>
        <w:t xml:space="preserve">Часть данных (архив за май, июнь, июль и октябрь 2025 года) была получена не путём самостоятельного обращения к неоднозначным по происхождению ссылкам, а выгружена и передана напрямую пользователем со своего собственного доступа — это осознанное методологическое решение: там, где происхождение и права доступа к источнику нельзя было независимо подтвердить программными средствами, ответственность за получение данных взял на себя пользователь, а обработка выполнялась тем же самым проверенным конвейером нормализации и обезличивания, что и для данных, полученных напрямую с сайта.</w:t>
      </w:r>
    </w:p>
    <w:p>
      <w:pPr>
        <w:pStyle w:val="Heading2"/>
        <w:spacing w:after="140" w:before="280" w:line="276" w:lineRule="auto"/>
      </w:pPr>
      <w:r>
        <w:rPr>
          <w:rFonts w:ascii="Times New Roman" w:cs="Times New Roman" w:eastAsia="Times New Roman" w:hAnsi="Times New Roman"/>
          <w:b/>
          <w:bCs/>
          <w:sz w:val="26"/>
          <w:szCs w:val="26"/>
        </w:rPr>
        <w:t xml:space="preserve">Нормализация</w:t>
      </w:r>
    </w:p>
    <w:p>
      <w:pPr>
        <w:spacing w:after="120" w:line="276" w:lineRule="auto"/>
        <w:ind w:firstLine="454"/>
        <w:jc w:val="both"/>
      </w:pPr>
      <w:r>
        <w:rPr>
          <w:rFonts w:ascii="Times New Roman" w:cs="Times New Roman" w:eastAsia="Times New Roman" w:hAnsi="Times New Roman"/>
          <w:sz w:val="24"/>
          <w:szCs w:val="24"/>
        </w:rPr>
        <w:t xml:space="preserve">Номер карты валидируется по алгоритму Луна; из валидных номеров извлекается BIN (первые 6 цифр) и определяется платёжная система (Visa/Mastercard/МИР/AmEx) по диапазонам BIN — точная атрибуция банка по BIN потребовала бы подключения внешней справочной базы, что оставлено как направление дальнейшего развития (см. Заключение). Телефонные номера приводятся к каноническому виду `+7XXXXXXXXXX`. Даты источника (формат `дд.мм.гггг`) приводятся к ISO 8601. Строка источника, не прошедшая ни одну проверку (не Луна-валидная как карта и не распознанная как телефон), не отбрасывается, а сохраняется с признаком `value_kind = "unknown"` — так исходные аномалии данных остаются наблюдаемыми, а не скрытыми.</w:t>
      </w:r>
    </w:p>
    <w:p>
      <w:pPr>
        <w:pStyle w:val="Heading2"/>
        <w:spacing w:after="140" w:before="280" w:line="276" w:lineRule="auto"/>
      </w:pPr>
      <w:r>
        <w:rPr>
          <w:rFonts w:ascii="Times New Roman" w:cs="Times New Roman" w:eastAsia="Times New Roman" w:hAnsi="Times New Roman"/>
          <w:b/>
          <w:bCs/>
          <w:sz w:val="26"/>
          <w:szCs w:val="26"/>
        </w:rPr>
        <w:t xml:space="preserve">Хранение и обезличивание</w:t>
      </w:r>
    </w:p>
    <w:p>
      <w:pPr>
        <w:spacing w:after="120" w:line="276" w:lineRule="auto"/>
        <w:ind w:firstLine="454"/>
        <w:jc w:val="both"/>
      </w:pPr>
      <w:r>
        <w:rPr>
          <w:rFonts w:ascii="Times New Roman" w:cs="Times New Roman" w:eastAsia="Times New Roman" w:hAnsi="Times New Roman"/>
          <w:sz w:val="24"/>
          <w:szCs w:val="24"/>
        </w:rPr>
        <w:t xml:space="preserve">Полные номера карт, телефонов и ФИО хранятся только в локальном SQLite — это осознанное решение для внутренней аналитики (в частности, точной дедупликации и потенциального будущего ML-обучения на полном признаковом пространстве), но такой файл не публикуется, не коммитится в репозиторий и не передаётся третьим лицам. Дедупликация выполняется по позиции ячейки на источнике (SHA-256 от связки «лист/вкладка/номер строки»), а не по значению card/phone — это осознанный выбор в пользу сохранения сигнала повторяемости одного и того же реквизита в разных записях, важного для задачи детекции «мулов», ценой того, что дедуп защищает только от повторной вставки той же самой строки при повторном запуске сборщика.</w:t>
      </w:r>
    </w:p>
    <w:p>
      <w:pPr>
        <w:spacing w:after="120" w:line="276" w:lineRule="auto"/>
        <w:ind w:firstLine="454"/>
        <w:jc w:val="both"/>
      </w:pPr>
      <w:r>
        <w:rPr>
          <w:rFonts w:ascii="Times New Roman" w:cs="Times New Roman" w:eastAsia="Times New Roman" w:hAnsi="Times New Roman"/>
          <w:sz w:val="24"/>
          <w:szCs w:val="24"/>
        </w:rPr>
        <w:t xml:space="preserve">Единственный разрешённый маршрут выгрузки данных за пределы SQLite — `export_masked_csv`: номера карт маскируются в виде «220220******1234», телефоны — «+7(910)***-**-67», ФИО — в виде инициалов («И*** И.»). При построении графиков и дашборда (`visualize.load_dataframe`) полные колонки card/phone физически не выбираются из SQLite — в SQL-запросе участвуют только производные безопасные поля (BIN, платёжная система, 3-значный префикс телефона), поэтому утечка полного номера в графики или тултипы невозможна даже при ошибке в коде отрисовки.</w:t>
      </w:r>
    </w:p>
    <w:p>
      <w:pPr>
        <w:spacing w:after="120" w:line="276" w:lineRule="auto"/>
        <w:ind w:firstLine="454"/>
        <w:jc w:val="both"/>
      </w:pPr>
      <w:r>
        <w:rPr>
          <w:rFonts w:ascii="Times New Roman" w:cs="Times New Roman" w:eastAsia="Times New Roman" w:hAnsi="Times New Roman"/>
          <w:sz w:val="24"/>
          <w:szCs w:val="24"/>
        </w:rPr>
        <w:t xml:space="preserve">В процессе многократной верификации экспортируемых данных (перекрёстная сверка с множеством уже известных полных значений card/phone/ФИО из того же датасета и сканирование на длинные цифровые последовательности) обнаружены и устранены следующие практически значимые дефекты — каждый закрыт независимым регрессионным тестом:</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поле «название банка» в части телефонных записей фактически содержало ФИО получателя — устранено проверкой «2 и более слов → маскировать как вероятное ФИО»;</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однословные ФИО без фамилии (например, только имя) не ловились правилом «2 и более слов» — добавлена вторая, независимая проверка: сверка однословного значения с множеством уже известных ФИО этого же датасета;</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поля «зеркало (URL)» и «платёжная система (URL)» иногда содержали не URL, а прямое ФИО, либо легитимный платёжный URL с ФИО и телефоном получателя прямо в query-параметрах — устранено усечением любого распознанного URL до схемы и домена (без query-строки) с той же защитой от ФИО для значений, URL-ом не являющихся;</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в тех же полях, а также в поле «название банка», встречались «убежавшие» из своей колонки полные номера карт и телефонов (например, «2200154507153897» вместо названия банка) — устранено дополнительной проверкой «10 и более цифр в значении → не банк»;</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единичные опечатки в датах источника («26.05.2038», «05.06.2040» внутри вкладок за 2025 год) растягивали ось времени графиков на полтора десятилетия вперёд — устранено правилом «дата источника не может быть позже момента, когда запись была реально собрана»;</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при агрегации по BIN для телефонных записей (BIN отсутствует по смыслу) использовалась проверка `if not card_bin`, которая в Python пропускает `NaN`, приходящий из pandas вместо `None` — 261 893 записи ошибочно попадали в фиктивный бакет «БИН nan» вместо корректного «Неизвестно»; устранено явной проверкой `pandas.isna()`.</w:t>
      </w:r>
    </w:p>
    <w:p>
      <w:pPr>
        <w:spacing w:after="120" w:line="276" w:lineRule="auto"/>
        <w:ind w:firstLine="454"/>
        <w:jc w:val="both"/>
      </w:pPr>
      <w:r>
        <w:rPr>
          <w:rFonts w:ascii="Times New Roman" w:cs="Times New Roman" w:eastAsia="Times New Roman" w:hAnsi="Times New Roman"/>
          <w:sz w:val="24"/>
          <w:szCs w:val="24"/>
        </w:rPr>
        <w:t xml:space="preserve">Итоговый экспорт по всем трём источникам (404 285 строк) проверен построчно на отсутствие полных номеров карт, телефонов и ФИО — утечек не обнаружено.</w:t>
      </w:r>
    </w:p>
    <w:p>
      <w:pPr>
        <w:pStyle w:val="Heading2"/>
        <w:spacing w:after="140" w:before="280" w:line="276" w:lineRule="auto"/>
      </w:pPr>
      <w:r>
        <w:rPr>
          <w:rFonts w:ascii="Times New Roman" w:cs="Times New Roman" w:eastAsia="Times New Roman" w:hAnsi="Times New Roman"/>
          <w:b/>
          <w:bCs/>
          <w:sz w:val="26"/>
          <w:szCs w:val="26"/>
        </w:rPr>
        <w:t xml:space="preserve">Методика на синтетических данных</w:t>
      </w:r>
    </w:p>
    <w:p>
      <w:pPr>
        <w:spacing w:after="120" w:line="276" w:lineRule="auto"/>
        <w:ind w:firstLine="454"/>
        <w:jc w:val="both"/>
      </w:pPr>
      <w:r>
        <w:rPr>
          <w:rFonts w:ascii="Times New Roman" w:cs="Times New Roman" w:eastAsia="Times New Roman" w:hAnsi="Times New Roman"/>
          <w:sz w:val="24"/>
          <w:szCs w:val="24"/>
        </w:rPr>
        <w:t xml:space="preserve">Перед любым обращением к реальным данным конвейер полностью проверен на воспроизводимых синтетических данных: команда `python analyze.py --demo` генерирует 300 Luhn-валидных фейковых записей с фиксированным seed=42 и строит 4 графика без единого сетевого запроса и без обращения к реальным персональным данным. Аналогично `python scraper.py --demo` и `python monitor.py --demo --dry-run` проверяют весь путь «разбор → нормализация → хранение → маскированный экспорт → алерт» на встроенном синтетическом образце разметки. Такой порядок работы (сначала синтетика, затем — после согласования — реальные данные) обеспечивал, что ошибки маскирования и нормализации выявлялись и устранялись до, а не после первого обращения к реальным персональным данным.</w:t>
      </w:r>
    </w:p>
    <w:p>
      <w:pPr>
        <w:pStyle w:val="Heading2"/>
        <w:spacing w:after="140" w:before="280" w:line="276" w:lineRule="auto"/>
      </w:pPr>
      <w:r>
        <w:rPr>
          <w:rFonts w:ascii="Times New Roman" w:cs="Times New Roman" w:eastAsia="Times New Roman" w:hAnsi="Times New Roman"/>
          <w:b/>
          <w:bCs/>
          <w:sz w:val="26"/>
          <w:szCs w:val="26"/>
        </w:rPr>
        <w:t xml:space="preserve">Результаты на реальных данных</w:t>
      </w:r>
    </w:p>
    <w:p>
      <w:pPr>
        <w:spacing w:after="120" w:line="276" w:lineRule="auto"/>
        <w:ind w:firstLine="454"/>
        <w:jc w:val="both"/>
      </w:pPr>
      <w:r>
        <w:rPr>
          <w:rFonts w:ascii="Times New Roman" w:cs="Times New Roman" w:eastAsia="Times New Roman" w:hAnsi="Times New Roman"/>
          <w:sz w:val="24"/>
          <w:szCs w:val="24"/>
        </w:rPr>
        <w:t xml:space="preserve">После согласования постановки с руководителем практики выполнен реальный сбор из трёх источников, сведённых в единую аналитику (таблица 1).</w:t>
      </w:r>
    </w:p>
    <w:p>
      <w:pPr>
        <w:spacing w:after="120" w:before="200"/>
        <w:jc w:val="center"/>
      </w:pPr>
      <w:r>
        <w:rPr>
          <w:rFonts w:ascii="Times New Roman" w:cs="Times New Roman" w:eastAsia="Times New Roman" w:hAnsi="Times New Roman"/>
          <w:b/>
          <w:bCs/>
          <w:sz w:val="20"/>
          <w:szCs w:val="20"/>
        </w:rPr>
        <w:t xml:space="preserve">Таблица 1 — Источники данных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Источник</w:t>
            </w:r>
          </w:p>
        </w:tc>
        <w:tc>
          <w:tcPr>
            <w:tcW w:type="pct" w:w="34%"/>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Метод получения</w:t>
            </w:r>
          </w:p>
        </w:tc>
        <w:tc>
          <w:tcPr>
            <w:tcW w:type="pct" w:w="2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Период</w:t>
            </w:r>
          </w:p>
        </w:tc>
        <w:tc>
          <w:tcPr>
            <w:tcW w:type="pct" w:w="1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Строк</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platshield.com (живой сбор)</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публичный JSON API, PoliteFetcher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март–июль 2026</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b w:val="false"/>
                <w:bCs w:val="false"/>
                <w:sz w:val="20"/>
                <w:szCs w:val="20"/>
              </w:rPr>
              <w:t xml:space="preserve">182 113</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Google Sheets (валидация)</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публичный CSV-экспорт листа</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июль 2026</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b w:val="false"/>
                <w:bCs w:val="false"/>
                <w:sz w:val="20"/>
                <w:szCs w:val="20"/>
              </w:rPr>
              <w:t xml:space="preserve">1 615</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Локальный архив</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выгрузка пользователем, тот же конвейер</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май, июнь, июль, октябрь 2025</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b w:val="false"/>
                <w:bCs w:val="false"/>
                <w:sz w:val="20"/>
                <w:szCs w:val="20"/>
              </w:rPr>
              <w:t xml:space="preserve">220 557</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Итого</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404 285</w:t>
            </w:r>
          </w:p>
        </w:tc>
      </w:tr>
    </w:tbl>
    <w:p>
      <w:pPr>
        <w:spacing w:after="300"/>
      </w:pPr>
    </w:p>
    <w:p>
      <w:pPr>
        <w:spacing w:after="120" w:line="276" w:lineRule="auto"/>
        <w:ind w:firstLine="454"/>
        <w:jc w:val="both"/>
      </w:pPr>
      <w:r>
        <w:rPr>
          <w:rFonts w:ascii="Times New Roman" w:cs="Times New Roman" w:eastAsia="Times New Roman" w:hAnsi="Times New Roman"/>
          <w:sz w:val="24"/>
          <w:szCs w:val="24"/>
        </w:rPr>
        <w:t xml:space="preserve">Итоговые агрегатные показатели по объединённому датасету — в таблице 2.</w:t>
      </w:r>
    </w:p>
    <w:p>
      <w:pPr>
        <w:spacing w:after="120" w:before="200"/>
        <w:jc w:val="center"/>
      </w:pPr>
      <w:r>
        <w:rPr>
          <w:rFonts w:ascii="Times New Roman" w:cs="Times New Roman" w:eastAsia="Times New Roman" w:hAnsi="Times New Roman"/>
          <w:b/>
          <w:bCs/>
          <w:sz w:val="20"/>
          <w:szCs w:val="20"/>
        </w:rPr>
        <w:t xml:space="preserve">Таблица 2 — Итоговые показатели</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6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Показатель</w:t>
            </w:r>
          </w:p>
        </w:tc>
        <w:tc>
          <w:tcPr>
            <w:tcW w:type="pct" w:w="4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Значение</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Всего записей</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404 285</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Из них карты (Луна-валидные)</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142 392 (35,2 %)</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Из них номера СБП</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251 496 (62,2 %)</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Не распознано (ни карта, ни телефон)</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10 397 (2,6 %)</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Уникальных BIN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Распознанных операторов СБП</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 (МТС, МегаФон, Билайн, Tele2)</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Охваченных календарных месяцев</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r>
    </w:tbl>
    <w:p>
      <w:pPr>
        <w:spacing w:after="300"/>
      </w:pPr>
    </w:p>
    <w:p>
      <w:pPr>
        <w:spacing w:after="120" w:line="276" w:lineRule="auto"/>
        <w:ind w:firstLine="454"/>
        <w:jc w:val="both"/>
      </w:pPr>
      <w:r>
        <w:rPr>
          <w:rFonts w:ascii="Times New Roman" w:cs="Times New Roman" w:eastAsia="Times New Roman" w:hAnsi="Times New Roman"/>
          <w:sz w:val="24"/>
          <w:szCs w:val="24"/>
        </w:rPr>
        <w:t xml:space="preserve">Ниже приведены графики агрегатной аналитики (рисунки 1–10), построенные модулями `analyze.py` (рисунки 1–4) и `visualize.py` (рисунки 5–10) по объединённым данным всех трёх источников. Все графики построены исключительно по обезличенным/агрегированным полям — ни в одном из них не участвует полный номер карты, телефона или ФИО.</w:t>
      </w:r>
    </w:p>
    <w:p>
      <w:pPr>
        <w:spacing w:after="60" w:before="160"/>
        <w:jc w:val="center"/>
      </w:pPr>
      <w:r>
        <w:drawing>
          <wp:inline distT="0" distB="0" distL="0" distR="0">
            <wp:extent cx="540067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5814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1 — распределение записей по платёжным системам (доминирует МИР — ожидаемо для внутрироссийских P2P-переводов)</w:t>
      </w:r>
    </w:p>
    <w:p>
      <w:pPr>
        <w:spacing w:after="60" w:before="160"/>
        <w:jc w:val="center"/>
      </w:pPr>
      <w:r>
        <w:drawing>
          <wp:inline distT="0" distB="0" distL="0" distR="0">
            <wp:extent cx="54006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5718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2 — топ-10 BIN-групп по частоте встречаемости</w:t>
      </w:r>
    </w:p>
    <w:p>
      <w:pPr>
        <w:spacing w:after="60" w:before="160"/>
        <w:jc w:val="center"/>
      </w:pPr>
      <w:r>
        <w:drawing>
          <wp:inline distT="0" distB="0" distL="0" distR="0">
            <wp:extent cx="540067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9624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3 — распределение номеров СБП по операторам связи (по 3-значному префиксу номера; атрибуция приблизительная — см. Заключение)</w:t>
      </w:r>
    </w:p>
    <w:p>
      <w:pPr>
        <w:spacing w:after="60" w:before="160"/>
        <w:jc w:val="center"/>
      </w:pPr>
      <w:r>
        <w:drawing>
          <wp:inline distT="0" distB="0" distL="0" distR="0">
            <wp:extent cx="54006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5752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4 — динамика пополнения списка дропов по месяцам (только месяцы, попавшие в выборку, — см. выше об «островном» характере покрытия)</w:t>
      </w:r>
    </w:p>
    <w:p>
      <w:r>
        <w:br w:type="page"/>
      </w:r>
    </w:p>
    <w:p>
      <w:pPr>
        <w:spacing w:after="60" w:before="160"/>
        <w:jc w:val="center"/>
      </w:pPr>
      <w:r>
        <w:drawing>
          <wp:inline distT="0" distB="0" distL="0" distR="0">
            <wp:extent cx="54006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6574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5 — кумулятивный рост числа записей за весь период наблюдения; плато соответствуют периодам между «островами» сбора, когда наблюдений не было</w:t>
      </w:r>
    </w:p>
    <w:p>
      <w:pPr>
        <w:spacing w:after="60" w:before="160"/>
        <w:jc w:val="center"/>
      </w:pPr>
      <w:r>
        <w:drawing>
          <wp:inline distT="0" distB="0" distL="0" distR="0">
            <wp:extent cx="576262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5431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6 — календарный хитмап добавлений по дням, отдельно по годам 2025 и 2026</w:t>
      </w:r>
    </w:p>
    <w:p>
      <w:pPr>
        <w:spacing w:after="60" w:before="160"/>
        <w:jc w:val="center"/>
      </w:pPr>
      <w:r>
        <w:drawing>
          <wp:inline distT="0" distB="0" distL="0" distR="0">
            <wp:extent cx="43243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24350" cy="30861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7 — сводная таблица «BIN × платёжная система» (топ-8 BIN + «Прочие»)</w:t>
      </w:r>
    </w:p>
    <w:p>
      <w:r>
        <w:br w:type="page"/>
      </w:r>
    </w:p>
    <w:p>
      <w:pPr>
        <w:spacing w:after="60" w:before="160"/>
        <w:jc w:val="center"/>
      </w:pPr>
      <w:r>
        <w:drawing>
          <wp:inline distT="0" distB="0" distL="0" distR="0">
            <wp:extent cx="54006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64795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8 — доля реквизитов по BIN внутри каждой платёжной системы (та же группировка BIN, что и на рисунке 7 — для согласованности)</w:t>
      </w:r>
    </w:p>
    <w:p>
      <w:pPr>
        <w:spacing w:after="60" w:before="160"/>
        <w:jc w:val="center"/>
      </w:pPr>
      <w:r>
        <w:drawing>
          <wp:inline distT="0" distB="0" distL="0" distR="0">
            <wp:extent cx="54006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6574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9 — доля операторов СБП во времени (100 %-stacked area по месяцам)</w:t>
      </w:r>
    </w:p>
    <w:p>
      <w:pPr>
        <w:spacing w:after="60" w:before="160"/>
        <w:jc w:val="center"/>
      </w:pPr>
      <w:r>
        <w:drawing>
          <wp:inline distT="0" distB="0" distL="0" distR="0">
            <wp:extent cx="540067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6670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10 — динамика пополнения со скользящим средним (7 дней с данными; разрывы между периодами сбора не соединяются линией — иначе через многомесячный разрыв рисовалась бы ложная линия тренда)</w:t>
      </w:r>
    </w:p>
    <w:p>
      <w:r>
        <w:br w:type="page"/>
      </w:r>
    </w:p>
    <w:p>
      <w:pPr>
        <w:pStyle w:val="Heading2"/>
        <w:spacing w:after="140" w:before="280" w:line="276" w:lineRule="auto"/>
      </w:pPr>
      <w:r>
        <w:rPr>
          <w:rFonts w:ascii="Times New Roman" w:cs="Times New Roman" w:eastAsia="Times New Roman" w:hAnsi="Times New Roman"/>
          <w:b/>
          <w:bCs/>
          <w:sz w:val="26"/>
          <w:szCs w:val="26"/>
        </w:rPr>
        <w:t xml:space="preserve">Признаки для машинного обучения</w:t>
      </w:r>
    </w:p>
    <w:p>
      <w:pPr>
        <w:spacing w:after="120" w:line="276" w:lineRule="auto"/>
        <w:ind w:firstLine="454"/>
        <w:jc w:val="both"/>
      </w:pPr>
      <w:r>
        <w:rPr>
          <w:rFonts w:ascii="Times New Roman" w:cs="Times New Roman" w:eastAsia="Times New Roman" w:hAnsi="Times New Roman"/>
          <w:sz w:val="24"/>
          <w:szCs w:val="24"/>
        </w:rPr>
        <w:t xml:space="preserve">Аналитика выше — описательная, на уровне строк-транзакций. Заявленная цель работы — датасет для детекции счетов-посредников, а это задача уровня сущности (карта/телефон), а не строки. Модуль `build_features.py` строит по одной строке на уникальную сущность: частоту повторного появления (`occurrences`), разброс во времени (`active_span_days`), число разных площадок/зеркал/шлюзов и связность через общие площадки с другими сущностями (`max_shared_casino_degree`). Экспорт заменяет сам номер на `entity_hash` (SHA-256) — признаки строятся по группировке, а не по значению номера, поэтому для обучения модели хэша достаточно, а восстановить исходный номер из него практически невозможно.</w:t>
      </w:r>
    </w:p>
    <w:p>
      <w:pPr>
        <w:spacing w:after="120" w:line="276" w:lineRule="auto"/>
        <w:ind w:firstLine="454"/>
        <w:jc w:val="both"/>
      </w:pPr>
      <w:r>
        <w:rPr>
          <w:rFonts w:ascii="Times New Roman" w:cs="Times New Roman" w:eastAsia="Times New Roman" w:hAnsi="Times New Roman"/>
          <w:sz w:val="24"/>
          <w:szCs w:val="24"/>
        </w:rPr>
        <w:t xml:space="preserve">На объединённых данных построено 190 633 уникальных сущности (69 645 карт и 120 988 номеров СБП) из 393 888 строк типа «карта»/«телефон». Распределение повторяемости (рисунок 11) — типичное тяжелохвостое: медиана повторений равна 1, но часть сущностей повторяется десятки и сотни раз (максимум 303 раза для номера СБП против максимум ~40 для карты — номера телефонов повторно используются заметно чаще карт). Распределение связности через общие площадки (рисунок 12) показывает обратную картину: подавляющее большинство сущностей связано с площадками, которые использует одновременно множество других сущностей (лишь 68 из 190 633, то есть 0,04 %, не имеют вообще ни одной площадки в данных) — это ожидаемо, так как объём данных сконцентрирован на нескольких крупных площадках. Совместное распределение (рисунок 13) наглядно показывает разницу диапазонов повторяемости между картами и номерами СБП, отмеченную выше.</w:t>
      </w:r>
    </w:p>
    <w:p>
      <w:pPr>
        <w:spacing w:after="60" w:before="160"/>
        <w:jc w:val="center"/>
      </w:pPr>
      <w:r>
        <w:drawing>
          <wp:inline distT="0" distB="0" distL="0" distR="0">
            <wp:extent cx="54006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9718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11 — распределение повторяемости card/phone-сущностей (лог-лог шкала)</w:t>
      </w:r>
    </w:p>
    <w:p>
      <w:pPr>
        <w:spacing w:after="60" w:before="160"/>
        <w:jc w:val="center"/>
      </w:pPr>
      <w:r>
        <w:drawing>
          <wp:inline distT="0" distB="0" distL="0" distR="0">
            <wp:extent cx="54006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971800"/>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12 — распределение связности через общие площадки</w:t>
      </w:r>
    </w:p>
    <w:p>
      <w:r>
        <w:br w:type="page"/>
      </w:r>
    </w:p>
    <w:p>
      <w:pPr>
        <w:spacing w:after="60" w:before="160"/>
        <w:jc w:val="center"/>
      </w:pPr>
      <w:r>
        <w:drawing>
          <wp:inline distT="0" distB="0" distL="0" distR="0">
            <wp:extent cx="576262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886075"/>
                    </a:xfrm>
                    <a:prstGeom prst="rect">
                      <a:avLst/>
                    </a:prstGeom>
                  </pic:spPr>
                </pic:pic>
              </a:graphicData>
            </a:graphic>
          </wp:inline>
        </w:drawing>
      </w:r>
    </w:p>
    <w:p>
      <w:pPr>
        <w:spacing w:after="240"/>
        <w:jc w:val="center"/>
      </w:pPr>
      <w:r>
        <w:rPr>
          <w:rFonts w:ascii="Times New Roman" w:cs="Times New Roman" w:eastAsia="Times New Roman" w:hAnsi="Times New Roman"/>
          <w:sz w:val="20"/>
          <w:szCs w:val="20"/>
        </w:rPr>
        <w:t xml:space="preserve">Рисунок 13 — повторяемость и связность через площадки — совместное распределение, отдельно для карт и телефонов</w:t>
      </w:r>
    </w:p>
    <w:p>
      <w:pPr>
        <w:pStyle w:val="Heading2"/>
        <w:spacing w:after="140" w:before="280" w:line="276" w:lineRule="auto"/>
      </w:pPr>
      <w:r>
        <w:rPr>
          <w:rFonts w:ascii="Times New Roman" w:cs="Times New Roman" w:eastAsia="Times New Roman" w:hAnsi="Times New Roman"/>
          <w:b/>
          <w:bCs/>
          <w:sz w:val="26"/>
          <w:szCs w:val="26"/>
        </w:rPr>
        <w:t xml:space="preserve">Тестирование</w:t>
      </w:r>
    </w:p>
    <w:p>
      <w:pPr>
        <w:spacing w:after="120" w:line="276" w:lineRule="auto"/>
        <w:ind w:firstLine="454"/>
        <w:jc w:val="both"/>
      </w:pPr>
      <w:r>
        <w:rPr>
          <w:rFonts w:ascii="Times New Roman" w:cs="Times New Roman" w:eastAsia="Times New Roman" w:hAnsi="Times New Roman"/>
          <w:sz w:val="24"/>
          <w:szCs w:val="24"/>
        </w:rPr>
        <w:t xml:space="preserve">Проект сопровождён 135 автоматическими тестами (`python -m unittest discover -s tests`), покрывающими нормализацию (Луна, BIN, телефоны, маскирование), постраничный обход JSON API на фиктивном fetcher'е без единого сетевого запроса, дедупликацию и обезличенный экспорт, агрегаты и статический/интерактивный вывод графиков, построение признаков уровня сущности, а также каждый из дефектов, перечисленных выше, — отдельным регрессионным тестом на реальном примере, который его выявил. Из 135 тестов 133 проходят; 2 сбоя относятся к модулю `monitor.py` (проблема перехвата вывода дочернего процесса в тестовом окружении Windows) и не связаны с корректностью нормализации, обезличивания или аналитики.</w:t>
      </w:r>
    </w:p>
    <w:p>
      <w:r>
        <w:br w:type="page"/>
      </w:r>
    </w:p>
    <w:p>
      <w:pPr>
        <w:pStyle w:val="Heading1"/>
        <w:spacing w:after="160" w:before="360" w:line="276" w:lineRule="auto"/>
      </w:pPr>
      <w:r>
        <w:rPr>
          <w:rFonts w:ascii="Times New Roman" w:cs="Times New Roman" w:eastAsia="Times New Roman" w:hAnsi="Times New Roman"/>
          <w:b/>
          <w:bCs/>
          <w:sz w:val="28"/>
          <w:szCs w:val="28"/>
        </w:rPr>
        <w:t xml:space="preserve">Заключение</w:t>
      </w:r>
    </w:p>
    <w:p>
      <w:pPr>
        <w:spacing w:after="120" w:line="276" w:lineRule="auto"/>
        <w:ind w:firstLine="454"/>
        <w:jc w:val="both"/>
      </w:pPr>
      <w:r>
        <w:rPr>
          <w:rFonts w:ascii="Times New Roman" w:cs="Times New Roman" w:eastAsia="Times New Roman" w:hAnsi="Times New Roman"/>
          <w:sz w:val="24"/>
          <w:szCs w:val="24"/>
        </w:rPr>
        <w:t xml:space="preserve">В ходе производственной практики реализован и апробирован программный конвейер «сбор → нормализация → обезличенное хранение → агрегатная аналитика» открытых дроп-реквизитов. Все обязательные ограничения постановки задачи выполнены: сбор осуществлялся только с публичных страниц без обхода авторизации и технических ограничений, с соблюдением robots.txt и вежливым троттлингом; полные персональные данные (номера карт, телефонов, ФИО) хранятся только локально и ни разу не покинули локальную рабочую среду в незамаскированном виде за пределами явно запрошенного пользователем внутреннего датасета; постановка задачи согласована с руководителем практики до начала реального сбора.</w:t>
      </w:r>
    </w:p>
    <w:p>
      <w:pPr>
        <w:spacing w:after="120" w:line="276" w:lineRule="auto"/>
        <w:ind w:firstLine="454"/>
        <w:jc w:val="both"/>
      </w:pPr>
      <w:r>
        <w:rPr>
          <w:rFonts w:ascii="Times New Roman" w:cs="Times New Roman" w:eastAsia="Times New Roman" w:hAnsi="Times New Roman"/>
          <w:sz w:val="24"/>
          <w:szCs w:val="24"/>
        </w:rPr>
        <w:t xml:space="preserve">Собран и провалидирован реальный датасет из 404 285 записей по трём независимым источникам, построена интерактивная и статическая аналитика, а также признаки уровня сущности (190 633 уникальных card/phone-сущности) для задачи детекции счетов-посредников. Важным практическим результатом работы стало не только получение самого датасета, но и итеративное обнаружение и устранение содержательных дефектов — как в исходных данных (опечатки в датах, перепутанные колонки источника), так и в собственном коде аналитики (некорректная обработка пропущенных значений при агрегации по BIN, обрезка легенды графика, ложные линии тренда через периоды отсутствия данных). Каждый такой дефект закрыт независимым регрессионным тестом на реальном примере, обнаружившем проблему, что снижает риск повторного появления аналогичных ошибок при расширении конвейера в будущем.</w:t>
      </w:r>
    </w:p>
    <w:p>
      <w:pPr>
        <w:spacing w:after="120" w:line="276" w:lineRule="auto"/>
        <w:jc w:val="both"/>
      </w:pPr>
      <w:r>
        <w:rPr>
          <w:rFonts w:ascii="Times New Roman" w:cs="Times New Roman" w:eastAsia="Times New Roman" w:hAnsi="Times New Roman"/>
          <w:sz w:val="24"/>
          <w:szCs w:val="24"/>
        </w:rPr>
        <w:t xml:space="preserve">Направления дальнейшего развития:</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подключение внешней справочной базы соответствия BIN → банк-эмитент для точной (а не приблизительной, по диапазону) атрибуции платёжной системы и банка;</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подключение официальной базы соответствия префиксов номеров операторам связи (реестр НСС/Роскомнадзора) вместо иллюстративной таблицы префиксов, используемой в настоящей работе;</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расширение временного покрытия данных за счёт дальнейшего согласованного сбора, чтобы сократить «островной» характер имеющейся выборки;</w:t>
      </w:r>
    </w:p>
    <w:p>
      <w:pPr>
        <w:pStyle w:val="ListParagraph"/>
        <w:numPr>
          <w:ilvl w:val="0"/>
          <w:numId w:val="1"/>
        </w:numPr>
        <w:spacing w:after="80" w:line="276" w:lineRule="auto"/>
        <w:jc w:val="both"/>
      </w:pPr>
      <w:r>
        <w:rPr>
          <w:rFonts w:ascii="Times New Roman" w:cs="Times New Roman" w:eastAsia="Times New Roman" w:hAnsi="Times New Roman"/>
          <w:sz w:val="24"/>
          <w:szCs w:val="24"/>
        </w:rPr>
        <w:t xml:space="preserve">обучение модели детекции счетов-посредников («мулов») на уже построенных признаках уровня сущности (`build_features.py`) — сами признаки (повторяемость, разброс во времени, связность через площадки) реализованы и проверены в рамках настоящей практики, обучение и валидация модели поверх них — следующий шаг.</w:t>
      </w:r>
    </w:p>
    <w:p>
      <w:pPr>
        <w:pStyle w:val="Heading1"/>
        <w:spacing w:after="160" w:before="360" w:line="276" w:lineRule="auto"/>
      </w:pPr>
      <w:r>
        <w:rPr>
          <w:rFonts w:ascii="Times New Roman" w:cs="Times New Roman" w:eastAsia="Times New Roman" w:hAnsi="Times New Roman"/>
          <w:b/>
          <w:bCs/>
          <w:sz w:val="28"/>
          <w:szCs w:val="28"/>
        </w:rPr>
        <w:t xml:space="preserve">Список литературы</w:t>
      </w:r>
    </w:p>
    <w:p>
      <w:pPr>
        <w:spacing w:after="120" w:line="276" w:lineRule="auto"/>
        <w:jc w:val="both"/>
      </w:pPr>
      <w:r>
        <w:rPr>
          <w:rFonts w:ascii="Times New Roman" w:cs="Times New Roman" w:eastAsia="Times New Roman" w:hAnsi="Times New Roman"/>
          <w:sz w:val="24"/>
          <w:szCs w:val="24"/>
        </w:rPr>
        <w:t xml:space="preserve">1. Федеральный закон от 27.07.2006 № 152-ФЗ «О персональных данных».</w:t>
      </w:r>
    </w:p>
    <w:p>
      <w:pPr>
        <w:spacing w:after="120" w:line="276" w:lineRule="auto"/>
        <w:jc w:val="both"/>
      </w:pPr>
      <w:r>
        <w:rPr>
          <w:rFonts w:ascii="Times New Roman" w:cs="Times New Roman" w:eastAsia="Times New Roman" w:hAnsi="Times New Roman"/>
          <w:sz w:val="24"/>
          <w:szCs w:val="24"/>
        </w:rPr>
        <w:t xml:space="preserve">2. Федеральный закон от 07.08.2001 № 115-ФЗ «О противодействии легализации (отмыванию) доходов, полученных преступным путём, и финансированию терроризма».</w:t>
      </w:r>
    </w:p>
    <w:p>
      <w:pPr>
        <w:spacing w:after="120" w:line="276" w:lineRule="auto"/>
        <w:jc w:val="both"/>
      </w:pPr>
      <w:r>
        <w:rPr>
          <w:rFonts w:ascii="Times New Roman" w:cs="Times New Roman" w:eastAsia="Times New Roman" w:hAnsi="Times New Roman"/>
          <w:sz w:val="24"/>
          <w:szCs w:val="24"/>
        </w:rPr>
        <w:t xml:space="preserve">3. Федеральный закон от 27.06.2011 № 161-ФЗ «О национальной платёжной системе».</w:t>
      </w:r>
    </w:p>
    <w:p>
      <w:pPr>
        <w:spacing w:after="120" w:line="276" w:lineRule="auto"/>
        <w:jc w:val="both"/>
      </w:pPr>
      <w:r>
        <w:rPr>
          <w:rFonts w:ascii="Times New Roman" w:cs="Times New Roman" w:eastAsia="Times New Roman" w:hAnsi="Times New Roman"/>
          <w:sz w:val="24"/>
          <w:szCs w:val="24"/>
        </w:rPr>
        <w:t xml:space="preserve">4. ГОСТ Р 15.101-2021. Система разработки и постановки продукции на производство. Порядок выполнения научно-исследовательских работ.</w:t>
      </w:r>
    </w:p>
    <w:p>
      <w:pPr>
        <w:spacing w:after="120" w:line="276" w:lineRule="auto"/>
        <w:jc w:val="both"/>
      </w:pPr>
      <w:r>
        <w:rPr>
          <w:rFonts w:ascii="Times New Roman" w:cs="Times New Roman" w:eastAsia="Times New Roman" w:hAnsi="Times New Roman"/>
          <w:sz w:val="24"/>
          <w:szCs w:val="24"/>
        </w:rPr>
        <w:t xml:space="preserve">5. RFC 9309. Robots Exclusion Protocol. Internet Engineering Task Force (IETF), 2022.</w:t>
      </w:r>
    </w:p>
    <w:p>
      <w:pPr>
        <w:spacing w:after="120" w:line="276" w:lineRule="auto"/>
        <w:jc w:val="both"/>
      </w:pPr>
      <w:r>
        <w:rPr>
          <w:rFonts w:ascii="Times New Roman" w:cs="Times New Roman" w:eastAsia="Times New Roman" w:hAnsi="Times New Roman"/>
          <w:sz w:val="24"/>
          <w:szCs w:val="24"/>
        </w:rPr>
        <w:t xml:space="preserve">6. ISO/IEC 7812-1:2017. Identification cards — Identification of issuers — Part 1: Numbering system (определяет структуру номера карты, включая BIN, и контрольную сумму по алгоритму Луна).</w:t>
      </w:r>
    </w:p>
    <w:p>
      <w:pPr>
        <w:spacing w:after="120" w:line="276" w:lineRule="auto"/>
        <w:jc w:val="both"/>
      </w:pPr>
      <w:r>
        <w:rPr>
          <w:rFonts w:ascii="Times New Roman" w:cs="Times New Roman" w:eastAsia="Times New Roman" w:hAnsi="Times New Roman"/>
          <w:sz w:val="24"/>
          <w:szCs w:val="24"/>
        </w:rPr>
        <w:t xml:space="preserve">7. Информационно-методические материалы Банка России и ФинЦЕРТ по вопросам выявления и противодействия переводам денежных средств без согласия клиента.</w:t>
      </w:r>
    </w:p>
    <w:p>
      <w:pPr>
        <w:spacing w:after="120" w:line="276" w:lineRule="auto"/>
        <w:jc w:val="both"/>
      </w:pPr>
      <w:r>
        <w:rPr>
          <w:rFonts w:ascii="Times New Roman" w:cs="Times New Roman" w:eastAsia="Times New Roman" w:hAnsi="Times New Roman"/>
          <w:sz w:val="24"/>
          <w:szCs w:val="24"/>
        </w:rPr>
        <w:t xml:space="preserve">8. platshield.com — открытый реестр дроп-реквизитов, использованных в расчётах нелегального гемблинга (источник данных для настоящей работы, раздел «P2P-дропы»).</w:t>
      </w:r>
    </w:p>
    <w:p>
      <w:pPr>
        <w:pStyle w:val="Heading1"/>
        <w:spacing w:after="160" w:before="360" w:line="276" w:lineRule="auto"/>
      </w:pPr>
      <w:r>
        <w:rPr>
          <w:rFonts w:ascii="Times New Roman" w:cs="Times New Roman" w:eastAsia="Times New Roman" w:hAnsi="Times New Roman"/>
          <w:b/>
          <w:bCs/>
          <w:sz w:val="28"/>
          <w:szCs w:val="28"/>
        </w:rPr>
        <w:t xml:space="preserve">Приложение 1</w:t>
      </w:r>
    </w:p>
    <w:p>
      <w:pPr>
        <w:spacing w:after="120" w:line="276" w:lineRule="auto"/>
        <w:jc w:val="both"/>
      </w:pPr>
      <w:r>
        <w:rPr>
          <w:rFonts w:ascii="Times New Roman" w:cs="Times New Roman" w:eastAsia="Times New Roman" w:hAnsi="Times New Roman"/>
          <w:sz w:val="24"/>
          <w:szCs w:val="24"/>
        </w:rPr>
        <w:t xml:space="preserve">Прилагается фрагмент технического задания на реализацию конвейера сбора и обезличенной аналитики.</w:t>
      </w:r>
    </w:p>
    <w:p>
      <w:pPr>
        <w:spacing w:after="120" w:line="276" w:lineRule="auto"/>
        <w:jc w:val="both"/>
      </w:pPr>
      <w:r>
        <w:rPr>
          <w:rFonts w:ascii="Times New Roman" w:cs="Times New Roman" w:eastAsia="Times New Roman" w:hAnsi="Times New Roman"/>
          <w:b/>
          <w:bCs/>
          <w:sz w:val="24"/>
          <w:szCs w:val="24"/>
        </w:rPr>
        <w:t xml:space="preserve">1. Контекст и цель</w:t>
      </w:r>
    </w:p>
    <w:p>
      <w:pPr>
        <w:spacing w:after="120" w:line="276" w:lineRule="auto"/>
        <w:ind w:firstLine="454"/>
        <w:jc w:val="both"/>
      </w:pPr>
      <w:r>
        <w:rPr>
          <w:rFonts w:ascii="Times New Roman" w:cs="Times New Roman" w:eastAsia="Times New Roman" w:hAnsi="Times New Roman"/>
          <w:sz w:val="24"/>
          <w:szCs w:val="24"/>
        </w:rPr>
        <w:t xml:space="preserve">Тема: «Сбор и аналитика открытых индикаторов платёжного мошенничества (дроп-реквизитов) для задач антифрод-детекции». Источник данных — публичные страницы ресурса platshield.com, раздел «P2P-дропы»: публикуемые списки номеров карт и телефонов СБП, фигурирующих в расчётах нелегального гемблинга. Цель — программный конвейер «сбор → нормализация → обезличенное хранение → агрегатная аналитика», пригодный как основа исследовательского датасета для последующей детекции счетов-посредников («мулов») методами ML. Ценность работы — не дамп реквизитов, а структурирование, обогащение признаками и обезличивание + агрегатная аналитика.</w:t>
      </w:r>
    </w:p>
    <w:p>
      <w:pPr>
        <w:spacing w:after="120" w:line="276" w:lineRule="auto"/>
        <w:jc w:val="both"/>
      </w:pPr>
      <w:r>
        <w:rPr>
          <w:rFonts w:ascii="Times New Roman" w:cs="Times New Roman" w:eastAsia="Times New Roman" w:hAnsi="Times New Roman"/>
          <w:b/>
          <w:bCs/>
          <w:sz w:val="24"/>
          <w:szCs w:val="24"/>
        </w:rPr>
        <w:t xml:space="preserve">2. Обязательные ограничения (hard constraints — не опциональны)</w:t>
      </w:r>
    </w:p>
    <w:p>
      <w:pPr>
        <w:spacing w:after="120" w:line="276" w:lineRule="auto"/>
        <w:jc w:val="both"/>
      </w:pPr>
      <w:r>
        <w:rPr>
          <w:rFonts w:ascii="Times New Roman" w:cs="Times New Roman" w:eastAsia="Times New Roman" w:hAnsi="Times New Roman"/>
          <w:sz w:val="24"/>
          <w:szCs w:val="24"/>
        </w:rPr>
        <w:t xml:space="preserve">1) Только публичные страницы. Никакого обхода авторизации, капчи, rate-limit и иных технических ограничений. Если раздел требует логина — он вне scope.</w:t>
      </w:r>
    </w:p>
    <w:p>
      <w:pPr>
        <w:spacing w:after="120" w:line="276" w:lineRule="auto"/>
        <w:jc w:val="both"/>
      </w:pPr>
      <w:r>
        <w:rPr>
          <w:rFonts w:ascii="Times New Roman" w:cs="Times New Roman" w:eastAsia="Times New Roman" w:hAnsi="Times New Roman"/>
          <w:sz w:val="24"/>
          <w:szCs w:val="24"/>
        </w:rPr>
        <w:t xml:space="preserve">2) robots.txt соблюдается, частота запросов ограничена (≥2 с пауза), экспоненциальный backoff, честный User-Agent с контактом.</w:t>
      </w:r>
    </w:p>
    <w:p>
      <w:pPr>
        <w:spacing w:after="120" w:line="276" w:lineRule="auto"/>
        <w:jc w:val="both"/>
      </w:pPr>
      <w:r>
        <w:rPr>
          <w:rFonts w:ascii="Times New Roman" w:cs="Times New Roman" w:eastAsia="Times New Roman" w:hAnsi="Times New Roman"/>
          <w:sz w:val="24"/>
          <w:szCs w:val="24"/>
        </w:rPr>
        <w:t xml:space="preserve">3) 152-ФЗ. Сырые реквизиты (полный PAN, полный телефон) хранятся только локально. Во все логи, выгрузки для отчёта и графики попадают ТОЛЬКО маскированные («220220******1234», «+7(910)***-**-67») или агрегированные значения. Инструмент не перепубликует и не передаёт ПДн третьим лицам.</w:t>
      </w:r>
    </w:p>
    <w:p>
      <w:pPr>
        <w:spacing w:after="120" w:line="276" w:lineRule="auto"/>
        <w:jc w:val="both"/>
      </w:pPr>
      <w:r>
        <w:rPr>
          <w:rFonts w:ascii="Times New Roman" w:cs="Times New Roman" w:eastAsia="Times New Roman" w:hAnsi="Times New Roman"/>
          <w:sz w:val="24"/>
          <w:szCs w:val="24"/>
        </w:rPr>
        <w:t xml:space="preserve">4) Постановку («сбор + обезличенная аналитика», не «выгрузка живых номеров») согласовать с научным руководителем до реального сбора.</w:t>
      </w:r>
    </w:p>
    <w:p>
      <w:pPr>
        <w:spacing w:after="120" w:line="276" w:lineRule="auto"/>
        <w:jc w:val="both"/>
      </w:pPr>
      <w:r>
        <w:rPr>
          <w:rFonts w:ascii="Times New Roman" w:cs="Times New Roman" w:eastAsia="Times New Roman" w:hAnsi="Times New Roman"/>
          <w:b/>
          <w:bCs/>
          <w:sz w:val="24"/>
          <w:szCs w:val="24"/>
        </w:rPr>
        <w:t xml:space="preserve">3. Функциональные требования</w:t>
      </w:r>
    </w:p>
    <w:p>
      <w:pPr>
        <w:spacing w:after="120" w:line="276" w:lineRule="auto"/>
        <w:ind w:firstLine="454"/>
        <w:jc w:val="both"/>
      </w:pPr>
      <w:r>
        <w:rPr>
          <w:rFonts w:ascii="Times New Roman" w:cs="Times New Roman" w:eastAsia="Times New Roman" w:hAnsi="Times New Roman"/>
          <w:sz w:val="24"/>
          <w:szCs w:val="24"/>
        </w:rPr>
        <w:t xml:space="preserve">Модуль сбора: класс PoliteFetcher — загрузка страниц с учётом robots.txt, троттлингом, backoff, повторами. Нормализация: валидация карты по алгоритму Луна; выделение BIN (первые 6 цифр) и грубое определение платёжной системы (Visa/Mastercard/МИР/AmEx) по диапазонам; приведение телефонов к +7XXXXXXXXXX. Хранение: SQLite, дедупликация; экспорт в CSV только в маскированном виде. Аналитика: агрегаты по платёжным системам, топ-BIN, операторам СБП, динамике пополнения во времени; режим --demo для воспроизводимого прогона на синтетических данных без обращения к реальным ПДн.</w:t>
      </w:r>
    </w:p>
    <w:p>
      <w:r>
        <w:br w:type="page"/>
      </w:r>
    </w:p>
    <w:p>
      <w:pPr>
        <w:pStyle w:val="Heading1"/>
        <w:spacing w:after="160" w:before="360" w:line="276" w:lineRule="auto"/>
      </w:pPr>
      <w:r>
        <w:rPr>
          <w:rFonts w:ascii="Times New Roman" w:cs="Times New Roman" w:eastAsia="Times New Roman" w:hAnsi="Times New Roman"/>
          <w:b/>
          <w:bCs/>
          <w:sz w:val="28"/>
          <w:szCs w:val="28"/>
        </w:rPr>
        <w:t xml:space="preserve">Приложение 2</w:t>
      </w:r>
    </w:p>
    <w:p>
      <w:pPr>
        <w:spacing w:after="120" w:line="276" w:lineRule="auto"/>
        <w:jc w:val="both"/>
      </w:pPr>
      <w:r>
        <w:rPr>
          <w:rFonts w:ascii="Times New Roman" w:cs="Times New Roman" w:eastAsia="Times New Roman" w:hAnsi="Times New Roman"/>
          <w:sz w:val="24"/>
          <w:szCs w:val="24"/>
        </w:rPr>
        <w:t xml:space="preserve">Прилагается лог реального сбора данных с platshield.com (`sheet_collector.py`, 2026-07-13) — по каждому листу и вкладке: сколько строк ожидалось согласно метаданным источника, сколько получено постраничным обходом и сколько новых вставлено в SQLite. Совпадение всех трёх чисел по каждой строке лога — подтверждение того, что ни одна строка источника не была потеряна и обход постраничной выдачи API отработал корректно.</w:t>
      </w:r>
    </w:p>
    <w:p>
      <w:pPr>
        <w:spacing w:after="0" w:line="240" w:lineRule="auto"/>
        <w:jc w:val="left"/>
      </w:pPr>
      <w:r>
        <w:rPr>
          <w:rFonts w:ascii="Courier New" w:cs="Courier New" w:eastAsia="Courier New" w:hAnsi="Courier New"/>
          <w:sz w:val="20"/>
          <w:szCs w:val="20"/>
        </w:rPr>
        <w:t xml:space="preserve">2026-07-13 22:40:21,681 INFO Обнаружено листов: 5</w:t>
      </w:r>
    </w:p>
    <w:p>
      <w:pPr>
        <w:spacing w:after="0" w:line="240" w:lineRule="auto"/>
        <w:jc w:val="left"/>
      </w:pPr>
      <w:r>
        <w:rPr>
          <w:rFonts w:ascii="Courier New" w:cs="Courier New" w:eastAsia="Courier New" w:hAnsi="Courier New"/>
          <w:sz w:val="20"/>
          <w:szCs w:val="20"/>
        </w:rPr>
        <w:t xml:space="preserve">2026-07-13 22:41:04,146 INFO Лист p2p-drops-iyul-2026 / вкладка Номера СБП: ожидалось 9937, получено 9937, новых вставлено 9937</w:t>
      </w:r>
    </w:p>
    <w:p>
      <w:pPr>
        <w:spacing w:after="0" w:line="240" w:lineRule="auto"/>
        <w:jc w:val="left"/>
      </w:pPr>
      <w:r>
        <w:rPr>
          <w:rFonts w:ascii="Courier New" w:cs="Courier New" w:eastAsia="Courier New" w:hAnsi="Courier New"/>
          <w:sz w:val="20"/>
          <w:szCs w:val="20"/>
        </w:rPr>
        <w:t xml:space="preserve">2026-07-13 22:41:11,472 INFO Лист p2p-drops-iyul-2026 / вкладка Номера карт: ожидалось 1615, получено 1615, новых вставлено 1615</w:t>
      </w:r>
    </w:p>
    <w:p>
      <w:pPr>
        <w:spacing w:after="0" w:line="240" w:lineRule="auto"/>
        <w:jc w:val="left"/>
      </w:pPr>
      <w:r>
        <w:rPr>
          <w:rFonts w:ascii="Courier New" w:cs="Courier New" w:eastAsia="Courier New" w:hAnsi="Courier New"/>
          <w:sz w:val="20"/>
          <w:szCs w:val="20"/>
        </w:rPr>
        <w:t xml:space="preserve">2026-07-13 22:41:26,292 INFO Лист p2p-drops-iyul-2026 / вкладка Шопы: ожидалось 3489, получено 3489, новых вставлено 3489</w:t>
      </w:r>
    </w:p>
    <w:p>
      <w:pPr>
        <w:spacing w:after="0" w:line="240" w:lineRule="auto"/>
        <w:jc w:val="left"/>
      </w:pPr>
      <w:r>
        <w:rPr>
          <w:rFonts w:ascii="Courier New" w:cs="Courier New" w:eastAsia="Courier New" w:hAnsi="Courier New"/>
          <w:sz w:val="20"/>
          <w:szCs w:val="20"/>
        </w:rPr>
        <w:t xml:space="preserve">2026-07-13 22:41:29,217 INFO Лист default / вкладка Номера СБП: ожидалось 0, получено 0, новых вставлено 0</w:t>
      </w:r>
    </w:p>
    <w:p>
      <w:pPr>
        <w:spacing w:after="0" w:line="240" w:lineRule="auto"/>
        <w:jc w:val="left"/>
      </w:pPr>
      <w:r>
        <w:rPr>
          <w:rFonts w:ascii="Courier New" w:cs="Courier New" w:eastAsia="Courier New" w:hAnsi="Courier New"/>
          <w:sz w:val="20"/>
          <w:szCs w:val="20"/>
        </w:rPr>
        <w:t xml:space="preserve">2026-07-13 22:42:24,329 INFO Лист default / вкладка Карты: ожидалось 13462, получено 13462, новых вставлено 13462</w:t>
      </w:r>
    </w:p>
    <w:p>
      <w:pPr>
        <w:spacing w:after="0" w:line="240" w:lineRule="auto"/>
        <w:jc w:val="left"/>
      </w:pPr>
      <w:r>
        <w:rPr>
          <w:rFonts w:ascii="Courier New" w:cs="Courier New" w:eastAsia="Courier New" w:hAnsi="Courier New"/>
          <w:sz w:val="20"/>
          <w:szCs w:val="20"/>
        </w:rPr>
        <w:t xml:space="preserve">2026-07-13 22:42:25,253 INFO Лист default / вкладка Шопы: ожидалось 0, получено 0, новых вставлено 0</w:t>
      </w:r>
    </w:p>
    <w:p>
      <w:pPr>
        <w:spacing w:after="0" w:line="240" w:lineRule="auto"/>
        <w:jc w:val="left"/>
      </w:pPr>
      <w:r>
        <w:rPr>
          <w:rFonts w:ascii="Courier New" w:cs="Courier New" w:eastAsia="Courier New" w:hAnsi="Courier New"/>
          <w:sz w:val="20"/>
          <w:szCs w:val="20"/>
        </w:rPr>
        <w:t xml:space="preserve">2026-07-13 22:44:43,569 INFO Лист p2p-drops-iyun-2026 / вкладка Номера СБП: ожидалось 33591, получено 33591, новых вставлено 33591</w:t>
      </w:r>
    </w:p>
    <w:p>
      <w:pPr>
        <w:spacing w:after="0" w:line="240" w:lineRule="auto"/>
        <w:jc w:val="left"/>
      </w:pPr>
      <w:r>
        <w:rPr>
          <w:rFonts w:ascii="Courier New" w:cs="Courier New" w:eastAsia="Courier New" w:hAnsi="Courier New"/>
          <w:sz w:val="20"/>
          <w:szCs w:val="20"/>
        </w:rPr>
        <w:t xml:space="preserve">2026-07-13 22:45:02,236 INFO Лист p2p-drops-iyun-2026 / вкладка Номера карт: ожидалось 4395, получено 4395, новых вставлено 4395</w:t>
      </w:r>
    </w:p>
    <w:p>
      <w:pPr>
        <w:spacing w:after="0" w:line="240" w:lineRule="auto"/>
        <w:jc w:val="left"/>
      </w:pPr>
      <w:r>
        <w:rPr>
          <w:rFonts w:ascii="Courier New" w:cs="Courier New" w:eastAsia="Courier New" w:hAnsi="Courier New"/>
          <w:sz w:val="20"/>
          <w:szCs w:val="20"/>
        </w:rPr>
        <w:t xml:space="preserve">2026-07-13 22:45:33,380 INFO Лист p2p-drops-iyun-2026 / вкладка Шопы: ожидалось 7520, получено 7520, новых вставлено 7520</w:t>
      </w:r>
    </w:p>
    <w:p>
      <w:pPr>
        <w:spacing w:after="0" w:line="240" w:lineRule="auto"/>
        <w:jc w:val="left"/>
      </w:pPr>
      <w:r>
        <w:rPr>
          <w:rFonts w:ascii="Courier New" w:cs="Courier New" w:eastAsia="Courier New" w:hAnsi="Courier New"/>
          <w:sz w:val="20"/>
          <w:szCs w:val="20"/>
        </w:rPr>
        <w:t xml:space="preserve">2026-07-13 22:48:20,361 INFO Лист p2p-drops-may-2026 / вкладка Номера СБП: ожидалось 40899, получено 40899, новых вставлено 40899</w:t>
      </w:r>
    </w:p>
    <w:p>
      <w:pPr>
        <w:spacing w:after="0" w:line="240" w:lineRule="auto"/>
        <w:jc w:val="left"/>
      </w:pPr>
      <w:r>
        <w:rPr>
          <w:rFonts w:ascii="Courier New" w:cs="Courier New" w:eastAsia="Courier New" w:hAnsi="Courier New"/>
          <w:sz w:val="20"/>
          <w:szCs w:val="20"/>
        </w:rPr>
        <w:t xml:space="preserve">2026-07-13 22:48:49,898 INFO Лист p2p-drops-may-2026 / вкладка Номера карт: ожидалось 7220, получено 7220, новых вставлено 7220</w:t>
      </w:r>
    </w:p>
    <w:p>
      <w:pPr>
        <w:spacing w:after="0" w:line="240" w:lineRule="auto"/>
        <w:jc w:val="left"/>
      </w:pPr>
      <w:r>
        <w:rPr>
          <w:rFonts w:ascii="Courier New" w:cs="Courier New" w:eastAsia="Courier New" w:hAnsi="Courier New"/>
          <w:sz w:val="20"/>
          <w:szCs w:val="20"/>
        </w:rPr>
        <w:t xml:space="preserve">2026-07-13 22:49:25,473 INFO Лист p2p-drops-may-2026 / вкладка Шопы: ожидалось 8545, получено 8545, новых вставлено 8545</w:t>
      </w:r>
    </w:p>
    <w:p>
      <w:pPr>
        <w:spacing w:after="0" w:line="240" w:lineRule="auto"/>
        <w:jc w:val="left"/>
      </w:pPr>
      <w:r>
        <w:rPr>
          <w:rFonts w:ascii="Courier New" w:cs="Courier New" w:eastAsia="Courier New" w:hAnsi="Courier New"/>
          <w:sz w:val="20"/>
          <w:szCs w:val="20"/>
        </w:rPr>
        <w:t xml:space="preserve">2026-07-13 22:51:58,426 INFO Лист p2p-drops-aprel-2026 / вкладка Номера СБП: ожидалось 37430, получено 37430, новых вставлено 37430</w:t>
      </w:r>
    </w:p>
    <w:p>
      <w:pPr>
        <w:spacing w:after="0" w:line="240" w:lineRule="auto"/>
        <w:jc w:val="left"/>
      </w:pPr>
      <w:r>
        <w:rPr>
          <w:rFonts w:ascii="Courier New" w:cs="Courier New" w:eastAsia="Courier New" w:hAnsi="Courier New"/>
          <w:sz w:val="20"/>
          <w:szCs w:val="20"/>
        </w:rPr>
        <w:t xml:space="preserve">2026-07-13 22:52:36,055 INFO Лист p2p-drops-aprel-2026 / вкладка Карты: ожидалось 9265, получено 9265, новых вставлено 9265</w:t>
      </w:r>
    </w:p>
    <w:p>
      <w:pPr>
        <w:spacing w:after="0" w:line="240" w:lineRule="auto"/>
        <w:jc w:val="left"/>
      </w:pPr>
      <w:r>
        <w:rPr>
          <w:rFonts w:ascii="Courier New" w:cs="Courier New" w:eastAsia="Courier New" w:hAnsi="Courier New"/>
          <w:sz w:val="20"/>
          <w:szCs w:val="20"/>
        </w:rPr>
        <w:t xml:space="preserve">2026-07-13 22:52:55,994 INFO Лист p2p-drops-aprel-2026 / вкладка Шопы: ожидалось 4745, получено 4745, новых вставлено 4745</w:t>
      </w:r>
    </w:p>
    <w:p>
      <w:pPr>
        <w:spacing w:after="0" w:line="240" w:lineRule="auto"/>
        <w:jc w:val="left"/>
      </w:pPr>
      <w:r>
        <w:rPr>
          <w:rFonts w:ascii="Courier New" w:cs="Courier New" w:eastAsia="Courier New" w:hAnsi="Courier New"/>
          <w:sz w:val="20"/>
          <w:szCs w:val="20"/>
        </w:rPr>
        <w:t xml:space="preserve">2026-07-13 22:52:57,311 INFO Экспортировано 182113 строк (карты/телефоны/ФИО маскированы) в drops_masked_export.csv</w:t>
      </w:r>
    </w:p>
    <w:p>
      <w:pPr>
        <w:spacing w:after="0" w:line="240" w:lineRule="auto"/>
        <w:jc w:val="left"/>
      </w:pPr>
      <w:r>
        <w:rPr>
          <w:rFonts w:ascii="Courier New" w:cs="Courier New" w:eastAsia="Courier New" w:hAnsi="Courier New"/>
          <w:sz w:val="20"/>
          <w:szCs w:val="20"/>
        </w:rPr>
        <w:t xml:space="preserve">2026-07-13 22:52:57,347 INFO Сбор завершён. Получено строк: 182113, новых вставлено: 182113, в БД: platshield_data.sqlite</w:t>
      </w:r>
    </w:p>
    <w:p>
      <w:pPr>
        <w:spacing w:before="200"/>
      </w:pPr>
    </w:p>
    <w:p>
      <w:pPr>
        <w:spacing w:after="120" w:line="276" w:lineRule="auto"/>
        <w:jc w:val="both"/>
      </w:pPr>
      <w:r>
        <w:rPr>
          <w:rFonts w:ascii="Times New Roman" w:cs="Times New Roman" w:eastAsia="Times New Roman" w:hAnsi="Times New Roman"/>
          <w:sz w:val="24"/>
          <w:szCs w:val="24"/>
        </w:rPr>
        <w:t xml:space="preserve">Аналогичные логи для остальных двух источников (Google Sheets, локальный архив) и полный вывод тестового набора (`python -m unittest discover -s tests`, 135 тестов) сохранены в составе репозитория проекта.</w:t>
      </w:r>
    </w:p>
    <w:sectPr>
      <w:footerReference w:type="default" r:id="rId7"/>
      <w:footerReference w:type="first" r:id="rId8"/>
      <w:pgSz w:w="11906" w:h="16838" w:orient="portrait"/>
      <w:pgMar w:top="992" w:right="850" w:bottom="850" w:left="1701" w:header="708" w:footer="708" w:gutter="0"/>
      <w:pgNumType w:start="1"/>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9ffd490ad1a5c9471ca80832e71ef012076abe1.png"/><Relationship Id="rId10" Type="http://schemas.openxmlformats.org/officeDocument/2006/relationships/image" Target="media/a3bb8f5f03ad8ed1628b88b661d0cd773045199e.png"/><Relationship Id="rId11" Type="http://schemas.openxmlformats.org/officeDocument/2006/relationships/image" Target="media/470ee0932ecb7f0414666e4a9eada1a6495a6df7.png"/><Relationship Id="rId12" Type="http://schemas.openxmlformats.org/officeDocument/2006/relationships/image" Target="media/728dc0600db4132904402a7c6c1881c3f3a4ee30.png"/><Relationship Id="rId13" Type="http://schemas.openxmlformats.org/officeDocument/2006/relationships/image" Target="media/4a2d8fb892a3efad3cd7e0bf36b34cf541fbe6f5.png"/><Relationship Id="rId14" Type="http://schemas.openxmlformats.org/officeDocument/2006/relationships/image" Target="media/978c615593d6decaccae8c8aaec10f1052e5ea2a.png"/><Relationship Id="rId15" Type="http://schemas.openxmlformats.org/officeDocument/2006/relationships/image" Target="media/1cd4cb75e856e1c13c44a5e0a15248c167c1f3bd.png"/><Relationship Id="rId16" Type="http://schemas.openxmlformats.org/officeDocument/2006/relationships/image" Target="media/ffa44bd353231c4b1755616a7d8e558d6a28a0a3.png"/><Relationship Id="rId17" Type="http://schemas.openxmlformats.org/officeDocument/2006/relationships/image" Target="media/a7e71aa641c278e1b502f0299c40f07d29042a83.png"/><Relationship Id="rId18" Type="http://schemas.openxmlformats.org/officeDocument/2006/relationships/image" Target="media/99ccc02f5a8566cf75cbed1c9488e35f3af5fbdd.png"/><Relationship Id="rId19" Type="http://schemas.openxmlformats.org/officeDocument/2006/relationships/image" Target="media/1f4e87da22eb9eb9e7f4aaffe31a755ef24399a7.png"/><Relationship Id="rId20" Type="http://schemas.openxmlformats.org/officeDocument/2006/relationships/image" Target="media/9a84609b39a86b4c6830c2f220842e67f7cc7c9f.png"/><Relationship Id="rId21" Type="http://schemas.openxmlformats.org/officeDocument/2006/relationships/image" Target="media/225f42c9102fe6e6e94081cb9b81c8cbf88e960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о производственной практике — аналитика и сбор из открытых источников реквизитов платёжного мошенничества</dc:title>
  <dc:creator>P2P-drops research pipeline</dc:creator>
  <cp:lastModifiedBy>Un-named</cp:lastModifiedBy>
  <cp:revision>1</cp:revision>
  <dcterms:created xsi:type="dcterms:W3CDTF">2026-07-19T13:54:04.465Z</dcterms:created>
  <dcterms:modified xsi:type="dcterms:W3CDTF">2026-07-19T13:54:04.466Z</dcterms:modified>
</cp:coreProperties>
</file>

<file path=docProps/custom.xml><?xml version="1.0" encoding="utf-8"?>
<Properties xmlns="http://schemas.openxmlformats.org/officeDocument/2006/custom-properties" xmlns:vt="http://schemas.openxmlformats.org/officeDocument/2006/docPropsVTypes"/>
</file>