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Small"/>
      </w:pPr>
      <w:r>
        <w:t xml:space="preserve">Aktsiaselts Keila Vesi (10221854)</w:t>
      </w:r>
    </w:p>
    <w:p>
      <w:pPr>
        <w:pStyle w:val="Small"/>
      </w:pPr>
      <w:r>
        <w:t xml:space="preserve">Riigihangete registri kaudu</w:t>
      </w:r>
    </w:p>
    <w:p>
      <w:pPr>
        <w:pStyle w:val="Small"/>
        <w:jc w:val="right"/>
      </w:pPr>
      <w:r>
        <w:t xml:space="preserve">21.10.2026</w:t>
      </w:r>
    </w:p>
    <w:p>
      <w:pPr>
        <w:pStyle w:val="Title"/>
      </w:pPr>
      <w:r>
        <w:t xml:space="preserve">Selgitustaotlus riigihankes nr 315920</w:t>
      </w:r>
    </w:p>
    <w:p>
      <w:r>
        <w:rPr>
          <w:b/>
        </w:rPr>
        <w:t xml:space="preserve">Riigihange: </w:t>
      </w:r>
      <w:r>
        <w:t xml:space="preserve">Keila Kooli Pargimaja liginullenergia korpuse ehitustööd</w:t>
      </w:r>
    </w:p>
    <w:p>
      <w:r>
        <w:rPr>
          <w:b/>
        </w:rPr>
        <w:t xml:space="preserve">Pakkumuste esitamise tähtaeg: </w:t>
      </w:r>
      <w:r>
        <w:t xml:space="preserve">02.12.2026 kell 11:00</w:t>
      </w:r>
    </w:p>
    <w:p>
      <w:r>
        <w:t xml:space="preserve"/>
      </w:r>
    </w:p>
    <w:p>
      <w:r>
        <w:t xml:space="preserve">Lugupeetud hankija</w:t>
      </w:r>
    </w:p>
    <w:p>
      <w:r>
        <w:t xml:space="preserve">Tutvusime riigihanke alusdokumentidega ja palume selgitada järgmisi küsimusi. Iga küsimuse juures on viide dokumendile ja kohale, mida see puudutab.</w:t>
      </w:r>
    </w:p>
    <w:p>
      <w:pPr>
        <w:ind w:left="425" w:hanging="425"/>
      </w:pPr>
      <w:r>
        <w:t xml:space="preserve">1.	</w:t>
      </w:r>
      <w:r>
        <w:t xml:space="preserve">Palume kinnitada hoone energiaklass ja selle alus: EE seletuskiri annab ETA 99 kWh/(m²a) ja nimetab seda A-klassiks, kuid sama dokumendi skaala järgi on A ≤ 95. Kes vastutab, kui arvutuslik või mõõdetud ETA ei vasta liginullenergia piirväärtusele?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EE seletuskiri lk 6; Tehniline kirjeldus, sissejuhatus</w:t>
      </w:r>
    </w:p>
    <w:p>
      <w:pPr>
        <w:ind w:left="425" w:hanging="425"/>
      </w:pPr>
      <w:r>
        <w:t xml:space="preserve">2.	</w:t>
      </w:r>
      <w:r>
        <w:t xml:space="preserve">Milline õhupidavuse q50 väärtus on siduv: AR-7-000 märkuste 2,5 m³/(h·m²) või ETA lähteandmete ≤ 1,5 m³/(h·m²)?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AR-7-000 lk 1 vs ETA lähteandmed (Lisa 2) lk 1</w:t>
      </w:r>
    </w:p>
    <w:p>
      <w:pPr>
        <w:ind w:left="425" w:hanging="425"/>
      </w:pPr>
      <w:r>
        <w:t xml:space="preserve">3.	</w:t>
      </w:r>
      <w:r>
        <w:t xml:space="preserve">Kas taastuvenergia sihtväärtus 23 912 kWh/a on töövõtjale siduv? Projekteeritud PV jaam 14,8 kWp toodab arvutuslikult 12 800 kWh/a. Palume kinnitada, et tehnilise kirjelduse sihtväärtuste mittesaavutamine ei ole garantiitöö, kui jaam on ehitatud projekti järgi.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Tehniline kirjeldus, näitajate tabel vs EE seletuskiri lk 5; PV seletuskiri lk 4</w:t>
      </w:r>
    </w:p>
    <w:p>
      <w:pPr>
        <w:ind w:left="425" w:hanging="425"/>
      </w:pPr>
      <w:r>
        <w:t xml:space="preserve">4.	</w:t>
      </w:r>
      <w:r>
        <w:t xml:space="preserve">Palume kinnitada, et hoone suletud netopind on 3277,0 m² ja suletud brutopind 3772,7 m² (hankepass ja tehniline kirjeldus nimetavad 3772,7 m² netopinnaks).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Hankepass lk 2 vs AR seletuskiri p 3.7</w:t>
      </w:r>
    </w:p>
    <w:p>
      <w:pPr>
        <w:ind w:left="425" w:hanging="425"/>
      </w:pPr>
      <w:r>
        <w:t xml:space="preserve">5.	</w:t>
      </w:r>
      <w:r>
        <w:t xml:space="preserve">Palume esitada geotehnika aruanne (REI Geotehnika 4549-20) ja selgitada, kes tasub EK nõutud täiendavad geoloogilised uuringud ning vundamendilahenduse muutmise, kui pinnas erineb aruandest. Kas ehitusaegne veealandus ja süvendiprojekt on töövõtja kulul?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EK seletuskiri p 3.1–3.2; EK-5-01 lk 1</w:t>
      </w:r>
    </w:p>
    <w:p>
      <w:pPr>
        <w:ind w:left="425" w:hanging="425"/>
      </w:pPr>
      <w:r>
        <w:t xml:space="preserve">6.	</w:t>
      </w:r>
      <w:r>
        <w:t xml:space="preserve">Palume esitada lammutusprojekti seletuskiri 2508_LA_AA-3-01_v03 ning asbesti/ohtlike materjalide uuring lammutatava hoone kohta. Kuidas hinnastatakse ohtlike jäätmete käitlus, kui uuringut ei ole?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Lammutusprojekt dok-nimekiri lk 1; Tehniline kirjeldus, Üldised piiritlusreeglid</w:t>
      </w:r>
    </w:p>
    <w:p>
      <w:pPr>
        <w:ind w:left="425" w:hanging="425"/>
      </w:pPr>
      <w:r>
        <w:t xml:space="preserve">7.	</w:t>
      </w:r>
      <w:r>
        <w:t xml:space="preserve">Palume esitada tehnilises kirjelduses viidatud „allolev nimekiri” Tellijale üleantavatest seadmetest ja mööblist või kinnitada, et kehtib lammutusprojekti loetelu LA_AA-9-01.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Tehniline kirjeldus, Üldised piiritlusreeglid</w:t>
      </w:r>
    </w:p>
    <w:p>
      <w:pPr>
        <w:ind w:left="425" w:hanging="425"/>
      </w:pPr>
      <w:r>
        <w:t xml:space="preserve">8.	</w:t>
      </w:r>
      <w:r>
        <w:t xml:space="preserve">Milline radoonikaitse lahendus on siduv: AR (täiendavaid meetmeid ei rakendata) või EK (kõrge radoonitase, kombineeritud passiivsed ja aktiivsed meetmed)?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AR seletuskiri p 3.2.4 vs EK seletuskiri p 3.4</w:t>
      </w:r>
    </w:p>
    <w:p>
      <w:pPr>
        <w:ind w:left="425" w:hanging="425"/>
      </w:pPr>
      <w:r>
        <w:t xml:space="preserve">9.	</w:t>
      </w:r>
      <w:r>
        <w:t xml:space="preserve">Milline keldriseina ja välisseina konstruktsioon on siduv: AR (monoliit 200/300 mm, 170 mm PUR, 4. korrus PIR) või EK (sandwich 200+160+80, varjend 350 mm, 160 mm PIR, 4. korrus 200 mm kivivill)?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AR seletuskiri p 3.2.9 vs EK seletuskiri p 3.3, 4.1</w:t>
      </w:r>
    </w:p>
    <w:p>
      <w:pPr>
        <w:ind w:left="425" w:hanging="425"/>
      </w:pPr>
      <w:r>
        <w:t xml:space="preserve">10.	</w:t>
      </w:r>
      <w:r>
        <w:t xml:space="preserve">Kas lammutuse vahetähtaeg 31.03.2027 arvestab, et Utilitas lubab kaugkütte ümbertõstmist ainult 1.06–31.08 ja üle 8 h katkestust ainult kütteperioodide vahel? Kas ajutise soojussõlme, ajutise trassi (kaevust K12.1) ja Pargi 2-2 uue soojussõlme koos olemasoleva süsteemi läbipesuga maksumus kuulub hinnatabeli reale 510 või mujale?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SV seletuskiri lk 5; Utilitas TT 26TT-13469 lk 2; Pargi 2-2 seletuskiri lk 7–8; Hankelepingu projekt p 7.4</w:t>
      </w:r>
    </w:p>
    <w:p>
      <w:pPr>
        <w:ind w:left="425" w:hanging="425"/>
      </w:pPr>
      <w:r>
        <w:t xml:space="preserve">11.	</w:t>
      </w:r>
      <w:r>
        <w:t xml:space="preserve">Kes ehitab ja finantseerib Utilitasele kuuluva kaugküttetrassi lõigu (liitumispunktist teeninduskaevuni) ning kuidas toimub omandi üleandmine? Hinnatabel rida 56 paneb 31 jm töövõtjale.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Utilitas TT 26TT-13469 lk 1; SV seletuskiri lk 3; Hinnapakkumise tabel rida 56</w:t>
      </w:r>
    </w:p>
    <w:p>
      <w:pPr>
        <w:ind w:left="425" w:hanging="425"/>
      </w:pPr>
      <w:r>
        <w:t xml:space="preserve">12.	</w:t>
      </w:r>
      <w:r>
        <w:t xml:space="preserve">Palume kinnitada veemõõtmise lahendus: Keila Vesi TT lubab ühe peaveemõõdusõlme veemõõdukaevus, VK projekteerib hoonetesse DN20 sõlmed. Kas veemõõdukaev D1500 ja Keila Vesi arvesti kuuluvad töövõttu?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VK seletuskiri lk 7 vs Keila Vesi TT 190326-1 lk 1; VKV seletuskiri lk 10</w:t>
      </w:r>
    </w:p>
    <w:p>
      <w:pPr>
        <w:ind w:left="425" w:hanging="425"/>
      </w:pPr>
      <w:r>
        <w:t xml:space="preserve">13.	</w:t>
      </w:r>
      <w:r>
        <w:t xml:space="preserve">Palume kinnitada reovee- ja sademeveepumplate arv ja mõõdud (VKV: De2000 vs De1200; SVP-1 1 vs 3 kmpl) ning katuse sademevee lahendus (VK: fassaadi torud väljaspool VK mahtu; VKV: hoonesisesed püstakud).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VK seletuskiri lk 12; VKV seletuskiri lk 19–22; VKV spets lk 2</w:t>
      </w:r>
    </w:p>
    <w:p>
      <w:pPr>
        <w:ind w:left="425" w:hanging="425"/>
      </w:pPr>
      <w:r>
        <w:t xml:space="preserve">14.	</w:t>
      </w:r>
      <w:r>
        <w:t xml:space="preserve">Milline on siduv hoone ±0.00 (AS seletuskiri abs 38.20 vs asendiplaan 38,10) ja kas galerii piirkonna kuni 9% kalle (TL) vastab ligipääsetavuse nõudele ≤ 5% (AS)?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AS seletuskiri lk 22 vs AS-4-02 lk 1; TL seletuskiri p 3.3</w:t>
      </w:r>
    </w:p>
    <w:p>
      <w:pPr>
        <w:ind w:left="425" w:hanging="425"/>
      </w:pPr>
      <w:r>
        <w:t xml:space="preserve">15.	</w:t>
      </w:r>
      <w:r>
        <w:t xml:space="preserve">Milline on siduv tööaeg mürarikastele töödele: tehniline kirjeldus (pärast koolipäeva kuni öörahuni) või TL seletuskiri (päevasel ajal 9–18, mitte 21–8)?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Tehniline kirjeldus, Üldist vs TL seletuskiri p 4.1</w:t>
      </w:r>
    </w:p>
    <w:p>
      <w:pPr>
        <w:ind w:left="425" w:hanging="425"/>
      </w:pPr>
      <w:r>
        <w:t xml:space="preserve">16.	</w:t>
      </w:r>
      <w:r>
        <w:t xml:space="preserve">Kes sõlmib ja tasub elektri liitumislepingu (315 A) ja PV tootja liitumise ning milline on siduv liitumispunkt (EL: alajaama AJ12621 kaablikingad; ELV: võrguvaldaja uus liitumiskilp)? Kas PV jaam koos 30 kWh akupangaga kuulub peatöövõttu?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EL seletuskiri p 2.1.1, 2.10 vs ELV seletuskiri p 1.3.1–1.3.2; PJK skeem EL-6-01</w:t>
      </w:r>
    </w:p>
    <w:p>
      <w:pPr>
        <w:ind w:left="425" w:hanging="425"/>
      </w:pPr>
      <w:r>
        <w:t xml:space="preserve">17.	</w:t>
      </w:r>
      <w:r>
        <w:t xml:space="preserve">Palume kinnitada, et olemasolevate põõsaste ja taimede (ca 800 istikut) ümberistutamine on hankija kohustus ja tehakse enne ehitusplatsi üleandmist, kuigi AS-osa näeb selle projekti osana ette.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Tehniline kirjeldus, Hanke mahtu ei kuulu vs AS seletuskiri lk 9</w:t>
      </w:r>
    </w:p>
    <w:p>
      <w:pPr>
        <w:ind w:left="425" w:hanging="425"/>
      </w:pPr>
      <w:r>
        <w:t xml:space="preserve">18.	</w:t>
      </w:r>
      <w:r>
        <w:t xml:space="preserve">Millistele hinnatabeli ridadele paigutada siirdeseinad, tehnoloogiaseadmed TH-01…TH-12, ajutine ühendustee, Pargi 2 ajutine soojussõlm, energiamärgis ja q50 mõõtmine, kasutusloa lõivud ning alaliste liitumiste tasud, millel eraldi rida puudub?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Tehniline kirjeldus, Hanke mahtu kuulub; Hinnapakkumise tabel read 506–518, 537–538</w:t>
      </w:r>
    </w:p>
    <w:p>
      <w:pPr>
        <w:ind w:left="425" w:hanging="425"/>
      </w:pPr>
      <w:r>
        <w:t xml:space="preserve">19.	</w:t>
      </w:r>
      <w:r>
        <w:t xml:space="preserve">Palume esitada hooneautomaatikas viidatud Tellija infoturbe nõuded (IT) ning määratleda olemasoleva Pargi 2e/1 hoone BMS-i asendamise ja Pargi 2 hoone tulevase liitmise maht.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EA ehituskirjeldus p 1.4.2, 1.5.1</w:t>
      </w:r>
    </w:p>
    <w:p>
      <w:pPr>
        <w:ind w:left="425" w:hanging="425"/>
      </w:pPr>
      <w:r>
        <w:t xml:space="preserve">20.	</w:t>
      </w:r>
      <w:r>
        <w:t xml:space="preserve">Kas hankija on valmis lisama lepingusse leppetrahvi ülempiiri (ETÜ 2013 p 12.2.3: 5% lepingu hinnast km-ta) ja arvestama trahvi lepingu hinnast ilma käibemaksuta?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Hankelepingu projekt p 12.3 vs ETÜ 2013 p 12.2.3</w:t>
      </w:r>
    </w:p>
    <w:p>
      <w:pPr>
        <w:ind w:left="425" w:hanging="425"/>
      </w:pPr>
      <w:r>
        <w:t xml:space="preserve">21.	</w:t>
      </w:r>
      <w:r>
        <w:t xml:space="preserve">Kas hankija on valmis lisama tähtaja pikendamise alustena ettenägematud füüsilised tingimused, projekti vead ja KOV kasutusloa menetluse viibimise (ETÜ 2013 p 7.3)? Kasutusloa vahetähtaeg langeb kokku lõpptähtajaga ja jätab menetluseks 2 kuud.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Hankelepingu projekt p 7.4, 10.3 vs ETÜ 2013 p 7.3</w:t>
      </w:r>
    </w:p>
    <w:p>
      <w:pPr>
        <w:ind w:left="425" w:hanging="425"/>
      </w:pPr>
      <w:r>
        <w:t xml:space="preserve">22.	</w:t>
      </w:r>
      <w:r>
        <w:t xml:space="preserve">Palume parandada lepingusisesed vastuolud: täitmistagatise esitamise tähtaeg (p 1.1.1: 14 päeva vs p 11.7: lepingu sõlmimise ajaks), garantiikirja kestus p 11.8 „38 (kolmkümmend) kuud”, p 7.2 sõnastus „lõppkuupäev on kui 31.07.2028”.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Hankelepingu projekt p 1.1.1, 7.2, 11.7, 11.8</w:t>
      </w:r>
    </w:p>
    <w:p>
      <w:pPr>
        <w:ind w:left="425" w:hanging="425"/>
      </w:pPr>
      <w:r>
        <w:t xml:space="preserve">23.	</w:t>
      </w:r>
      <w:r>
        <w:t xml:space="preserve">Kas hankija kaalub kinnipidamise vähendamist (10% → 5%) või asendamist garantiikirjaga ning ülesütlemise künnise tõstmist 10-päevaselt mahajäämuselt ETÜ 20 tööpäevale koos lisatähtajaga?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Hankelepingu projekt p 8.2.2–8.2.3, 18.6.1 vs ETÜ 2013 p 10.2.7, 12.5.2.2</w:t>
      </w:r>
    </w:p>
    <w:p>
      <w:pPr>
        <w:ind w:left="425" w:hanging="425"/>
      </w:pPr>
      <w:r>
        <w:t xml:space="preserve">24.	</w:t>
      </w:r>
      <w:r>
        <w:t xml:space="preserve">Palume kinnitada, et kõik projekti osad on põhiprojekti mahus (AR seletuskiri ja tiitelleht nimetavad eelprojekti) ning loetleda lahendused, mis on teadlikult jäetud töövõtja tööprojekti.</w:t>
      </w:r>
    </w:p>
    <w:p>
      <w:pPr>
        <w:ind w:left="425" w:hanging="425"/>
      </w:pPr>
      <w:r>
        <w:t xml:space="preserve">	</w:t>
      </w:r>
      <w:r>
        <w:rPr>
          <w:color w:val="555555"/>
          <w:sz w:val="19"/>
        </w:rPr>
        <w:t xml:space="preserve">Viide: AR seletuskiri p 1.1; AR-0-01 lk 1; Hankelepingu projekt p 3.5.1–3.5.2</w:t>
      </w:r>
    </w:p>
    <w:p>
      <w:r>
        <w:t xml:space="preserve"/>
      </w:r>
    </w:p>
    <w:p>
      <w:r>
        <w:t xml:space="preserve">Palume vastused avaldada riigihangete registris, et need oleksid kättesaadavad kõigile pakkujatele.</w:t>
      </w:r>
    </w:p>
    <w:p>
      <w:r>
        <w:t xml:space="preserve"/>
      </w:r>
    </w:p>
    <w:p>
      <w:r>
        <w:t xml:space="preserve">Lugupidamisega</w:t>
      </w:r>
    </w:p>
    <w:p>
      <w:r>
        <w:t xml:space="preserve">Näidis Ehitus OÜ</w:t>
      </w:r>
    </w:p>
    <w:sectPr>
      <w:pgSz w:w="11906" w:h="16838"/>
      <w:pgMar w:top="1418" w:right="1134" w:bottom="1418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t-E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240"/>
    </w:pPr>
    <w:rPr>
      <w:b/>
      <w:sz w:val="28"/>
    </w:rPr>
  </w:style>
  <w:style w:type="paragraph" w:styleId="Small">
    <w:name w:val="Small"/>
    <w:basedOn w:val="Normal"/>
    <w:pPr>
      <w:spacing w:after="0"/>
    </w:pPr>
    <w:rPr>
      <w:sz w:val="20"/>
      <w:color w:val="555555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Selgitustaotlus 315920</dc:title>
  <dc:creator>Näidis Ehitus OÜ</dc:creator>
  <dcterms:created xsi:type="dcterms:W3CDTF">2026-10-21T07:17:47Z</dcterms:created>
</cp:coreProperties>
</file>