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9FE" w:rsidRPr="00DB59FE" w:rsidRDefault="00DB59FE" w:rsidP="00DB59FE">
      <w:pPr>
        <w:pStyle w:val="Title"/>
      </w:pPr>
      <w:bookmarkStart w:id="0" w:name="_GoBack"/>
      <w:bookmarkEnd w:id="0"/>
      <w:r w:rsidRPr="00DB59FE">
        <w:rPr>
          <w:rFonts w:hint="eastAsia"/>
        </w:rPr>
        <w:t>关于苏福个人住房抵押贷款资产支持证券</w:t>
      </w:r>
    </w:p>
    <w:p w:rsidR="007216AF" w:rsidRDefault="00DB59FE" w:rsidP="00DB59FE">
      <w:pPr>
        <w:pStyle w:val="Title"/>
      </w:pPr>
      <w:r w:rsidRPr="00DB59FE">
        <w:rPr>
          <w:rFonts w:hint="eastAsia"/>
        </w:rPr>
        <w:t>评级安排说明</w:t>
      </w:r>
    </w:p>
    <w:p w:rsidR="00DB59FE" w:rsidRDefault="00DB59FE" w:rsidP="00DB59FE">
      <w:pPr>
        <w:ind w:firstLineChars="200" w:firstLine="560"/>
        <w:jc w:val="left"/>
        <w:rPr>
          <w:sz w:val="28"/>
          <w:szCs w:val="28"/>
        </w:rPr>
      </w:pPr>
      <w:r w:rsidRPr="00DB59FE">
        <w:rPr>
          <w:rFonts w:hint="eastAsia"/>
          <w:sz w:val="28"/>
          <w:szCs w:val="28"/>
        </w:rPr>
        <w:t>对本次申请注册的苏福个人住房抵押贷款资产支持证券，将分别聘请两家独立的第三方评级机构进行售前评级和存续期内跟踪评级。</w:t>
      </w:r>
    </w:p>
    <w:p w:rsidR="00DB59FE" w:rsidRDefault="00DB59FE" w:rsidP="00DB59FE">
      <w:pPr>
        <w:ind w:firstLineChars="200" w:firstLine="560"/>
        <w:jc w:val="left"/>
        <w:rPr>
          <w:sz w:val="28"/>
          <w:szCs w:val="28"/>
        </w:rPr>
      </w:pPr>
      <w:r w:rsidRPr="00DB59FE">
        <w:rPr>
          <w:rFonts w:hint="eastAsia"/>
          <w:sz w:val="28"/>
          <w:szCs w:val="28"/>
        </w:rPr>
        <w:t>在每</w:t>
      </w:r>
      <w:r>
        <w:rPr>
          <w:rFonts w:hint="eastAsia"/>
          <w:sz w:val="28"/>
          <w:szCs w:val="28"/>
        </w:rPr>
        <w:t>期</w:t>
      </w:r>
      <w:r w:rsidRPr="00DB59FE">
        <w:rPr>
          <w:rFonts w:hint="eastAsia"/>
          <w:sz w:val="28"/>
          <w:szCs w:val="28"/>
        </w:rPr>
        <w:t>资产支持</w:t>
      </w:r>
      <w:r>
        <w:rPr>
          <w:rFonts w:hint="eastAsia"/>
          <w:sz w:val="28"/>
          <w:szCs w:val="28"/>
        </w:rPr>
        <w:t>证</w:t>
      </w:r>
      <w:r w:rsidRPr="00DB59FE">
        <w:rPr>
          <w:rFonts w:hint="eastAsia"/>
          <w:sz w:val="28"/>
          <w:szCs w:val="28"/>
        </w:rPr>
        <w:t>券发行前</w:t>
      </w:r>
      <w:r>
        <w:rPr>
          <w:rFonts w:hint="eastAsia"/>
          <w:sz w:val="28"/>
          <w:szCs w:val="28"/>
        </w:rPr>
        <w:t>，</w:t>
      </w:r>
      <w:r w:rsidRPr="00DB59FE">
        <w:rPr>
          <w:rFonts w:hint="eastAsia"/>
          <w:sz w:val="28"/>
          <w:szCs w:val="28"/>
        </w:rPr>
        <w:t>两家评级机构将针对交易所涉及的入池资产、交易结构、法律要素以及有关参与方履约能力及操作风险等因素进行考量，在进行组合信用风险分析模型和现金流模型量化分析的基础上对拟发行的每期资</w:t>
      </w:r>
      <w:r>
        <w:rPr>
          <w:rFonts w:hint="eastAsia"/>
          <w:sz w:val="28"/>
          <w:szCs w:val="28"/>
        </w:rPr>
        <w:t>产</w:t>
      </w:r>
      <w:r w:rsidRPr="00DB59FE">
        <w:rPr>
          <w:rFonts w:hint="eastAsia"/>
          <w:sz w:val="28"/>
          <w:szCs w:val="28"/>
        </w:rPr>
        <w:t>支持证券予以售前评级。发行人和主承销商需</w:t>
      </w:r>
      <w:r>
        <w:rPr>
          <w:rFonts w:hint="eastAsia"/>
          <w:sz w:val="28"/>
          <w:szCs w:val="28"/>
        </w:rPr>
        <w:t>协</w:t>
      </w:r>
      <w:r w:rsidRPr="00DB59FE">
        <w:rPr>
          <w:rFonts w:hint="eastAsia"/>
          <w:sz w:val="28"/>
          <w:szCs w:val="28"/>
        </w:rPr>
        <w:t>调发起人及其他项目中介机构，及时向评级机构提供开展信用评级工</w:t>
      </w:r>
      <w:r>
        <w:rPr>
          <w:rFonts w:hint="eastAsia"/>
          <w:sz w:val="28"/>
          <w:szCs w:val="28"/>
        </w:rPr>
        <w:t>作所需的资料、信息、</w:t>
      </w:r>
      <w:r w:rsidRPr="00DB59FE">
        <w:rPr>
          <w:rFonts w:hint="eastAsia"/>
          <w:sz w:val="28"/>
          <w:szCs w:val="28"/>
        </w:rPr>
        <w:t>数据，并配合评级机构开展相关的调</w:t>
      </w:r>
      <w:r>
        <w:rPr>
          <w:rFonts w:hint="eastAsia"/>
          <w:sz w:val="28"/>
          <w:szCs w:val="28"/>
        </w:rPr>
        <w:t>研工作，以确保评级机构出具的评级报告的质</w:t>
      </w:r>
      <w:r w:rsidRPr="00DB59FE">
        <w:rPr>
          <w:rFonts w:hint="eastAsia"/>
          <w:sz w:val="28"/>
          <w:szCs w:val="28"/>
        </w:rPr>
        <w:t>量。</w:t>
      </w:r>
    </w:p>
    <w:p w:rsidR="00DB59FE" w:rsidRPr="00DB59FE" w:rsidRDefault="00DB59FE" w:rsidP="00DB59FE">
      <w:pPr>
        <w:ind w:firstLineChars="200" w:firstLine="560"/>
        <w:jc w:val="left"/>
        <w:rPr>
          <w:sz w:val="28"/>
          <w:szCs w:val="28"/>
        </w:rPr>
      </w:pPr>
      <w:r w:rsidRPr="00DB59FE">
        <w:rPr>
          <w:rFonts w:hint="eastAsia"/>
          <w:sz w:val="28"/>
          <w:szCs w:val="28"/>
        </w:rPr>
        <w:t>此外，两家评级机构将在受评证券信用等级有效期内，</w:t>
      </w:r>
      <w:r>
        <w:rPr>
          <w:rFonts w:hint="eastAsia"/>
          <w:sz w:val="28"/>
          <w:szCs w:val="28"/>
        </w:rPr>
        <w:t>对</w:t>
      </w:r>
      <w:r w:rsidRPr="00DB59FE">
        <w:rPr>
          <w:rFonts w:hint="eastAsia"/>
          <w:sz w:val="28"/>
          <w:szCs w:val="28"/>
        </w:rPr>
        <w:t>受评证券的信用状况进行持续跟踪监测，对每</w:t>
      </w:r>
      <w:r>
        <w:rPr>
          <w:rFonts w:hint="eastAsia"/>
          <w:sz w:val="28"/>
          <w:szCs w:val="28"/>
        </w:rPr>
        <w:t>年</w:t>
      </w:r>
      <w:r w:rsidRPr="00DB59FE">
        <w:rPr>
          <w:rFonts w:hint="eastAsia"/>
          <w:sz w:val="28"/>
          <w:szCs w:val="28"/>
        </w:rPr>
        <w:t>仍处于存续期</w:t>
      </w:r>
      <w:r>
        <w:rPr>
          <w:rFonts w:hint="eastAsia"/>
          <w:sz w:val="28"/>
          <w:szCs w:val="28"/>
        </w:rPr>
        <w:t>内</w:t>
      </w:r>
      <w:r w:rsidRPr="00DB59FE">
        <w:rPr>
          <w:rFonts w:hint="eastAsia"/>
          <w:sz w:val="28"/>
          <w:szCs w:val="28"/>
        </w:rPr>
        <w:t>且优先档资</w:t>
      </w:r>
      <w:r>
        <w:rPr>
          <w:rFonts w:hint="eastAsia"/>
          <w:sz w:val="28"/>
          <w:szCs w:val="28"/>
        </w:rPr>
        <w:t>产</w:t>
      </w:r>
      <w:r w:rsidRPr="00DB59FE">
        <w:rPr>
          <w:rFonts w:hint="eastAsia"/>
          <w:sz w:val="28"/>
          <w:szCs w:val="28"/>
        </w:rPr>
        <w:t>支持证券本金未偿还完毕的、</w:t>
      </w:r>
      <w:r>
        <w:rPr>
          <w:rFonts w:hint="eastAsia"/>
          <w:sz w:val="28"/>
          <w:szCs w:val="28"/>
        </w:rPr>
        <w:t>且于上年</w:t>
      </w:r>
      <w:r w:rsidRPr="00DB59FE">
        <w:rPr>
          <w:rFonts w:hint="eastAsia"/>
          <w:sz w:val="28"/>
          <w:szCs w:val="28"/>
        </w:rPr>
        <w:t>底</w:t>
      </w:r>
      <w:r>
        <w:rPr>
          <w:rFonts w:hint="eastAsia"/>
          <w:sz w:val="28"/>
          <w:szCs w:val="28"/>
        </w:rPr>
        <w:t>之前发行设立的资产支持证券，其跟踪评级报告于当年</w:t>
      </w:r>
      <w:r>
        <w:rPr>
          <w:rFonts w:hint="eastAsia"/>
          <w:sz w:val="28"/>
          <w:szCs w:val="28"/>
        </w:rPr>
        <w:t>7</w:t>
      </w:r>
      <w:r>
        <w:rPr>
          <w:rFonts w:hint="eastAsia"/>
          <w:sz w:val="28"/>
          <w:szCs w:val="28"/>
        </w:rPr>
        <w:t>月</w:t>
      </w:r>
      <w:r>
        <w:rPr>
          <w:rFonts w:hint="eastAsia"/>
          <w:sz w:val="28"/>
          <w:szCs w:val="28"/>
        </w:rPr>
        <w:t>31</w:t>
      </w:r>
      <w:r>
        <w:rPr>
          <w:rFonts w:hint="eastAsia"/>
          <w:sz w:val="28"/>
          <w:szCs w:val="28"/>
        </w:rPr>
        <w:t>日前出具。</w:t>
      </w:r>
    </w:p>
    <w:p w:rsidR="00DB59FE" w:rsidRDefault="00B21DE7" w:rsidP="00B21DE7">
      <w:pPr>
        <w:ind w:firstLineChars="200" w:firstLine="560"/>
        <w:jc w:val="left"/>
        <w:rPr>
          <w:sz w:val="28"/>
          <w:szCs w:val="28"/>
        </w:rPr>
      </w:pPr>
      <w:r>
        <w:rPr>
          <w:rFonts w:hint="eastAsia"/>
          <w:sz w:val="28"/>
          <w:szCs w:val="28"/>
        </w:rPr>
        <w:t xml:space="preserve"> </w:t>
      </w:r>
      <w:r w:rsidR="00205185">
        <w:rPr>
          <w:rFonts w:hint="eastAsia"/>
          <w:sz w:val="28"/>
          <w:szCs w:val="28"/>
        </w:rPr>
        <w:t>信托财产如发生重大变化，或发生可能对已</w:t>
      </w:r>
      <w:r w:rsidRPr="00B21DE7">
        <w:rPr>
          <w:rFonts w:hint="eastAsia"/>
          <w:sz w:val="28"/>
          <w:szCs w:val="28"/>
        </w:rPr>
        <w:t>发行资产支持证券状况产生较大影响的突发事件，评级机构将进行不定</w:t>
      </w:r>
      <w:r>
        <w:rPr>
          <w:rFonts w:hint="eastAsia"/>
          <w:sz w:val="28"/>
          <w:szCs w:val="28"/>
        </w:rPr>
        <w:t>期跟踪评</w:t>
      </w:r>
      <w:r w:rsidRPr="00B21DE7">
        <w:rPr>
          <w:rFonts w:hint="eastAsia"/>
          <w:sz w:val="28"/>
          <w:szCs w:val="28"/>
        </w:rPr>
        <w:t>级，并随时据实进行信用等级调整并予公布。</w:t>
      </w:r>
    </w:p>
    <w:p w:rsidR="00B21DE7" w:rsidRDefault="00B21DE7" w:rsidP="00B21DE7">
      <w:pPr>
        <w:ind w:firstLineChars="200" w:firstLine="560"/>
        <w:jc w:val="left"/>
        <w:rPr>
          <w:sz w:val="28"/>
          <w:szCs w:val="28"/>
        </w:rPr>
      </w:pPr>
      <w:r w:rsidRPr="00B21DE7">
        <w:rPr>
          <w:rFonts w:hint="eastAsia"/>
          <w:sz w:val="28"/>
          <w:szCs w:val="28"/>
        </w:rPr>
        <w:t>在资产支持证券有效欺内，发行人</w:t>
      </w:r>
      <w:r w:rsidRPr="00B21DE7">
        <w:rPr>
          <w:rFonts w:hint="eastAsia"/>
          <w:sz w:val="28"/>
          <w:szCs w:val="28"/>
        </w:rPr>
        <w:t>(</w:t>
      </w:r>
      <w:r w:rsidRPr="00B21DE7">
        <w:rPr>
          <w:rFonts w:hint="eastAsia"/>
          <w:sz w:val="28"/>
          <w:szCs w:val="28"/>
        </w:rPr>
        <w:t>受托机构</w:t>
      </w:r>
      <w:r w:rsidRPr="00B21DE7">
        <w:rPr>
          <w:rFonts w:hint="eastAsia"/>
          <w:sz w:val="28"/>
          <w:szCs w:val="28"/>
        </w:rPr>
        <w:t>)</w:t>
      </w:r>
      <w:r w:rsidRPr="00B21DE7">
        <w:rPr>
          <w:rFonts w:hint="eastAsia"/>
          <w:sz w:val="28"/>
          <w:szCs w:val="28"/>
        </w:rPr>
        <w:t>应及时向评级机构提供评级所需的资料，包括但不限于定期贷款</w:t>
      </w:r>
      <w:r w:rsidRPr="00B21DE7">
        <w:rPr>
          <w:rFonts w:hint="eastAsia"/>
          <w:sz w:val="28"/>
          <w:szCs w:val="28"/>
        </w:rPr>
        <w:t>/</w:t>
      </w:r>
      <w:r w:rsidRPr="00B21DE7">
        <w:rPr>
          <w:rFonts w:hint="eastAsia"/>
          <w:sz w:val="28"/>
          <w:szCs w:val="28"/>
        </w:rPr>
        <w:t>资产服务报告、受托</w:t>
      </w:r>
      <w:r w:rsidRPr="00B21DE7">
        <w:rPr>
          <w:rFonts w:hint="eastAsia"/>
          <w:sz w:val="28"/>
          <w:szCs w:val="28"/>
        </w:rPr>
        <w:lastRenderedPageBreak/>
        <w:t>机构报告、年度财务报告及其他可能影响信托财严或受一评证券信用状况的相关资料，以确保评级机构能获得充分有效的评级信息开展跟踪评级工作。</w:t>
      </w:r>
    </w:p>
    <w:p w:rsidR="00B21DE7" w:rsidRDefault="00B21DE7" w:rsidP="00B21DE7">
      <w:pPr>
        <w:ind w:firstLineChars="200" w:firstLine="560"/>
        <w:jc w:val="left"/>
        <w:rPr>
          <w:sz w:val="28"/>
          <w:szCs w:val="28"/>
        </w:rPr>
      </w:pPr>
      <w:r w:rsidRPr="00B21DE7">
        <w:rPr>
          <w:rFonts w:hint="eastAsia"/>
          <w:sz w:val="28"/>
          <w:szCs w:val="28"/>
        </w:rPr>
        <w:t>在获取评级机构的售前和跟踪评级报告之后在中国债券信息网</w:t>
      </w:r>
      <w:r w:rsidRPr="00B21DE7">
        <w:rPr>
          <w:rFonts w:hint="eastAsia"/>
          <w:sz w:val="28"/>
          <w:szCs w:val="28"/>
        </w:rPr>
        <w:t>(</w:t>
      </w:r>
      <w:r>
        <w:rPr>
          <w:sz w:val="28"/>
          <w:szCs w:val="28"/>
        </w:rPr>
        <w:t>www.chinabond.c</w:t>
      </w:r>
      <w:r>
        <w:rPr>
          <w:rFonts w:hint="eastAsia"/>
          <w:sz w:val="28"/>
          <w:szCs w:val="28"/>
        </w:rPr>
        <w:t>n</w:t>
      </w:r>
      <w:r w:rsidRPr="00B21DE7">
        <w:rPr>
          <w:rFonts w:hint="eastAsia"/>
          <w:sz w:val="28"/>
          <w:szCs w:val="28"/>
        </w:rPr>
        <w:t>)</w:t>
      </w:r>
      <w:r w:rsidRPr="00B21DE7">
        <w:rPr>
          <w:rFonts w:hint="eastAsia"/>
          <w:sz w:val="28"/>
          <w:szCs w:val="28"/>
        </w:rPr>
        <w:t>、中国货币网</w:t>
      </w:r>
      <w:r>
        <w:rPr>
          <w:rFonts w:hint="eastAsia"/>
          <w:sz w:val="28"/>
          <w:szCs w:val="28"/>
        </w:rPr>
        <w:t>(</w:t>
      </w:r>
      <w:hyperlink r:id="rId4" w:history="1">
        <w:r w:rsidRPr="00E018FE">
          <w:rPr>
            <w:rStyle w:val="Hyperlink"/>
            <w:rFonts w:hint="eastAsia"/>
            <w:sz w:val="28"/>
            <w:szCs w:val="28"/>
          </w:rPr>
          <w:t>www</w:t>
        </w:r>
        <w:r w:rsidRPr="00E018FE">
          <w:rPr>
            <w:rStyle w:val="Hyperlink"/>
            <w:sz w:val="28"/>
            <w:szCs w:val="28"/>
          </w:rPr>
          <w:t>.chinamoney.cn</w:t>
        </w:r>
      </w:hyperlink>
      <w:r>
        <w:rPr>
          <w:rFonts w:hint="eastAsia"/>
          <w:sz w:val="28"/>
          <w:szCs w:val="28"/>
        </w:rPr>
        <w:t>)</w:t>
      </w:r>
      <w:r w:rsidRPr="00B21DE7">
        <w:rPr>
          <w:rFonts w:hint="eastAsia"/>
          <w:sz w:val="28"/>
          <w:szCs w:val="28"/>
        </w:rPr>
        <w:t xml:space="preserve"> </w:t>
      </w:r>
      <w:r w:rsidRPr="00B21DE7">
        <w:rPr>
          <w:rFonts w:hint="eastAsia"/>
          <w:sz w:val="28"/>
          <w:szCs w:val="28"/>
        </w:rPr>
        <w:t>、与交易商协会信息披露服务系统直连模块化披露的北京金融资产交易所官方网站以及交易商协会认可的其他方式进行相关的信月、披露。</w:t>
      </w:r>
    </w:p>
    <w:p w:rsidR="00B21DE7" w:rsidRDefault="00B21DE7" w:rsidP="00B21DE7">
      <w:pPr>
        <w:ind w:firstLineChars="200" w:firstLine="560"/>
        <w:jc w:val="left"/>
        <w:rPr>
          <w:sz w:val="28"/>
          <w:szCs w:val="28"/>
        </w:rPr>
      </w:pPr>
    </w:p>
    <w:p w:rsidR="00F90F43" w:rsidRDefault="00F90F43" w:rsidP="00F90F43">
      <w:pPr>
        <w:ind w:right="1120" w:firstLineChars="200" w:firstLine="560"/>
        <w:rPr>
          <w:sz w:val="28"/>
          <w:szCs w:val="28"/>
        </w:rPr>
      </w:pPr>
      <w:r>
        <w:rPr>
          <w:sz w:val="28"/>
          <w:szCs w:val="28"/>
        </w:rPr>
        <w:t xml:space="preserve">                           </w:t>
      </w:r>
      <w:sdt>
        <w:sdtPr>
          <w:rPr>
            <w:rFonts w:asciiTheme="minorEastAsia" w:hAnsiTheme="minorEastAsia" w:hint="eastAsia"/>
            <w:sz w:val="24"/>
            <w:szCs w:val="24"/>
          </w:rPr>
          <w:alias w:val="Originator"/>
          <w:tag w:val="Originator"/>
          <w:id w:val="1875112599"/>
          <w:placeholder>
            <w:docPart w:val="7906F646C96641529DFC7785A0AD98B4"/>
          </w:placeholder>
          <w:showingPlcHdr/>
          <w:text/>
        </w:sdtPr>
        <w:sdtEndPr/>
        <w:sdtContent>
          <w:r w:rsidRPr="00F90F43">
            <w:rPr>
              <w:rFonts w:hint="eastAsia"/>
              <w:sz w:val="28"/>
              <w:szCs w:val="28"/>
            </w:rPr>
            <w:t>苏州银行股份有限公司</w:t>
          </w:r>
        </w:sdtContent>
      </w:sdt>
    </w:p>
    <w:p w:rsidR="00F90F43" w:rsidRDefault="00F90F43" w:rsidP="00F90F43">
      <w:pPr>
        <w:ind w:right="1120"/>
        <w:rPr>
          <w:sz w:val="28"/>
          <w:szCs w:val="28"/>
        </w:rPr>
      </w:pPr>
      <w:r>
        <w:rPr>
          <w:sz w:val="28"/>
          <w:szCs w:val="28"/>
        </w:rPr>
        <w:t xml:space="preserve">                                       </w:t>
      </w:r>
    </w:p>
    <w:p w:rsidR="00B21DE7" w:rsidRPr="00B21DE7" w:rsidRDefault="00F90F43" w:rsidP="00F90F43">
      <w:pPr>
        <w:ind w:right="1120"/>
        <w:rPr>
          <w:sz w:val="28"/>
          <w:szCs w:val="28"/>
        </w:rPr>
      </w:pPr>
      <w:r>
        <w:rPr>
          <w:sz w:val="28"/>
          <w:szCs w:val="28"/>
        </w:rPr>
        <w:t xml:space="preserve">                                        </w:t>
      </w:r>
      <w:r>
        <w:rPr>
          <w:sz w:val="28"/>
          <w:szCs w:val="28"/>
        </w:rPr>
        <w:t>年</w:t>
      </w:r>
      <w:r>
        <w:rPr>
          <w:rFonts w:hint="eastAsia"/>
          <w:sz w:val="28"/>
          <w:szCs w:val="28"/>
        </w:rPr>
        <w:t xml:space="preserve"> </w:t>
      </w:r>
      <w:r>
        <w:rPr>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B21DE7" w:rsidRDefault="00F90F43" w:rsidP="00B21DE7">
      <w:pPr>
        <w:jc w:val="left"/>
        <w:rPr>
          <w:sz w:val="28"/>
          <w:szCs w:val="28"/>
        </w:rPr>
      </w:pPr>
      <w:r>
        <w:rPr>
          <w:sz w:val="28"/>
          <w:szCs w:val="28"/>
        </w:rPr>
        <w:t xml:space="preserve">                                       </w:t>
      </w:r>
    </w:p>
    <w:p w:rsidR="00F90F43" w:rsidRDefault="00F90F43" w:rsidP="00B21DE7">
      <w:pPr>
        <w:jc w:val="left"/>
        <w:rPr>
          <w:sz w:val="28"/>
          <w:szCs w:val="28"/>
        </w:rPr>
      </w:pPr>
    </w:p>
    <w:p w:rsidR="00B21DE7" w:rsidRDefault="00F90F43" w:rsidP="00F90F43">
      <w:pPr>
        <w:jc w:val="left"/>
        <w:rPr>
          <w:sz w:val="28"/>
          <w:szCs w:val="28"/>
        </w:rPr>
      </w:pPr>
      <w:r>
        <w:rPr>
          <w:sz w:val="28"/>
          <w:szCs w:val="28"/>
        </w:rPr>
        <w:t xml:space="preserve">                               </w:t>
      </w:r>
      <w:sdt>
        <w:sdtPr>
          <w:rPr>
            <w:rFonts w:hint="eastAsia"/>
            <w:sz w:val="28"/>
            <w:szCs w:val="28"/>
          </w:rPr>
          <w:alias w:val="RoleIssuingTrustee"/>
          <w:tag w:val="RoleIssuingTrustee"/>
          <w:id w:val="-878696001"/>
          <w:placeholder>
            <w:docPart w:val="46F03C7665F0423F9D7E5DC2BD7DC4C9"/>
          </w:placeholder>
          <w:text/>
        </w:sdtPr>
        <w:sdtEndPr/>
        <w:sdtContent>
          <w:r w:rsidRPr="00F90F43">
            <w:rPr>
              <w:rFonts w:hint="eastAsia"/>
              <w:sz w:val="28"/>
              <w:szCs w:val="28"/>
            </w:rPr>
            <w:t>交银国际信托有限公司</w:t>
          </w:r>
        </w:sdtContent>
      </w:sdt>
    </w:p>
    <w:p w:rsidR="00F90F43" w:rsidRDefault="00F90F43" w:rsidP="00F90F43">
      <w:pPr>
        <w:jc w:val="left"/>
        <w:rPr>
          <w:sz w:val="28"/>
          <w:szCs w:val="28"/>
        </w:rPr>
      </w:pPr>
    </w:p>
    <w:p w:rsidR="00F90F43" w:rsidRPr="00B21DE7" w:rsidRDefault="00F90F43" w:rsidP="00F90F43">
      <w:pPr>
        <w:jc w:val="left"/>
        <w:rPr>
          <w:sz w:val="28"/>
          <w:szCs w:val="28"/>
        </w:rPr>
      </w:pPr>
      <w:r>
        <w:rPr>
          <w:sz w:val="28"/>
          <w:szCs w:val="28"/>
        </w:rPr>
        <w:t xml:space="preserve">                                        </w:t>
      </w:r>
      <w:r>
        <w:rPr>
          <w:sz w:val="28"/>
          <w:szCs w:val="28"/>
        </w:rPr>
        <w:t>年</w:t>
      </w:r>
      <w:r>
        <w:rPr>
          <w:rFonts w:hint="eastAsia"/>
          <w:sz w:val="28"/>
          <w:szCs w:val="28"/>
        </w:rPr>
        <w:t xml:space="preserve"> </w:t>
      </w:r>
      <w:r>
        <w:rPr>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sectPr w:rsidR="00F90F43" w:rsidRPr="00B21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8F"/>
    <w:rsid w:val="000771ED"/>
    <w:rsid w:val="00143687"/>
    <w:rsid w:val="00205185"/>
    <w:rsid w:val="0028794F"/>
    <w:rsid w:val="0063628F"/>
    <w:rsid w:val="007216AF"/>
    <w:rsid w:val="00B21DE7"/>
    <w:rsid w:val="00DB59FE"/>
    <w:rsid w:val="00F9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AEEA8-0909-4218-8E2E-8DF56662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9F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DB59FE"/>
    <w:rPr>
      <w:rFonts w:asciiTheme="majorHAnsi" w:eastAsia="宋体" w:hAnsiTheme="majorHAnsi" w:cstheme="majorBidi"/>
      <w:b/>
      <w:bCs/>
      <w:sz w:val="32"/>
      <w:szCs w:val="32"/>
    </w:rPr>
  </w:style>
  <w:style w:type="character" w:styleId="Hyperlink">
    <w:name w:val="Hyperlink"/>
    <w:basedOn w:val="DefaultParagraphFont"/>
    <w:uiPriority w:val="99"/>
    <w:unhideWhenUsed/>
    <w:rsid w:val="00B21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www.chinamoney.c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06F646C96641529DFC7785A0AD98B4"/>
        <w:category>
          <w:name w:val="General"/>
          <w:gallery w:val="placeholder"/>
        </w:category>
        <w:types>
          <w:type w:val="bbPlcHdr"/>
        </w:types>
        <w:behaviors>
          <w:behavior w:val="content"/>
        </w:behaviors>
        <w:guid w:val="{6EAF6822-21B2-427E-9940-DDE62E6E131F}"/>
      </w:docPartPr>
      <w:docPartBody>
        <w:p w:rsidR="007B031C" w:rsidRDefault="000D4C37" w:rsidP="000D4C37">
          <w:pPr>
            <w:pStyle w:val="7906F646C96641529DFC7785A0AD98B4"/>
          </w:pPr>
          <w:r w:rsidRPr="0097785A">
            <w:rPr>
              <w:rFonts w:asciiTheme="minorEastAsia" w:hAnsiTheme="minorEastAsia" w:hint="eastAsia"/>
              <w:sz w:val="24"/>
              <w:szCs w:val="24"/>
            </w:rPr>
            <w:t>苏州银行股份有限公司</w:t>
          </w:r>
        </w:p>
      </w:docPartBody>
    </w:docPart>
    <w:docPart>
      <w:docPartPr>
        <w:name w:val="46F03C7665F0423F9D7E5DC2BD7DC4C9"/>
        <w:category>
          <w:name w:val="General"/>
          <w:gallery w:val="placeholder"/>
        </w:category>
        <w:types>
          <w:type w:val="bbPlcHdr"/>
        </w:types>
        <w:behaviors>
          <w:behavior w:val="content"/>
        </w:behaviors>
        <w:guid w:val="{19DF8077-01F9-4D26-9BB6-DE607D1883CA}"/>
      </w:docPartPr>
      <w:docPartBody>
        <w:p w:rsidR="007B031C" w:rsidRDefault="000D4C37" w:rsidP="000D4C37">
          <w:pPr>
            <w:pStyle w:val="46F03C7665F0423F9D7E5DC2BD7DC4C9"/>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37"/>
    <w:rsid w:val="000D4C37"/>
    <w:rsid w:val="003423B4"/>
    <w:rsid w:val="006C688A"/>
    <w:rsid w:val="007B031C"/>
    <w:rsid w:val="00A4372F"/>
    <w:rsid w:val="00A85EE9"/>
    <w:rsid w:val="00B9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8F0A0BB124282B3723DDD0C4A619D">
    <w:name w:val="E278F0A0BB124282B3723DDD0C4A619D"/>
    <w:rsid w:val="000D4C37"/>
  </w:style>
  <w:style w:type="paragraph" w:customStyle="1" w:styleId="7906F646C96641529DFC7785A0AD98B4">
    <w:name w:val="7906F646C96641529DFC7785A0AD98B4"/>
    <w:rsid w:val="000D4C37"/>
  </w:style>
  <w:style w:type="character" w:styleId="PlaceholderText">
    <w:name w:val="Placeholder Text"/>
    <w:basedOn w:val="DefaultParagraphFont"/>
    <w:uiPriority w:val="99"/>
    <w:semiHidden/>
    <w:rsid w:val="000D4C37"/>
    <w:rPr>
      <w:color w:val="808080"/>
    </w:rPr>
  </w:style>
  <w:style w:type="paragraph" w:customStyle="1" w:styleId="46F03C7665F0423F9D7E5DC2BD7DC4C9">
    <w:name w:val="46F03C7665F0423F9D7E5DC2BD7DC4C9"/>
    <w:rsid w:val="000D4C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道大王</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12</cp:revision>
  <dcterms:created xsi:type="dcterms:W3CDTF">2016-06-29T08:49:00Z</dcterms:created>
  <dcterms:modified xsi:type="dcterms:W3CDTF">2016-07-18T07:05:00Z</dcterms:modified>
</cp:coreProperties>
</file>