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CEB" w:rsidRDefault="00E242DB" w:rsidP="00CC5C0F">
      <w:pPr>
        <w:ind w:left="0"/>
        <w:jc w:val="center"/>
        <w:rPr>
          <w:rFonts w:eastAsiaTheme="minorEastAsia" w:hint="eastAsia"/>
        </w:rPr>
      </w:pPr>
      <w:bookmarkStart w:id="0" w:name="_GoBack"/>
      <w:bookmarkEnd w:id="0"/>
      <w:r>
        <w:t>注册申请报告表格</w:t>
      </w:r>
    </w:p>
    <w:p w:rsidR="00CC5C0F" w:rsidRPr="00CC5C0F" w:rsidRDefault="00CC5C0F" w:rsidP="00CC5C0F">
      <w:pPr>
        <w:ind w:left="0"/>
        <w:jc w:val="center"/>
        <w:rPr>
          <w:rFonts w:eastAsiaTheme="minorEastAsia" w:hint="eastAsia"/>
        </w:rPr>
      </w:pPr>
    </w:p>
    <w:tbl>
      <w:tblPr>
        <w:tblStyle w:val="TableGrid"/>
        <w:tblW w:w="8433" w:type="dxa"/>
        <w:tblInd w:w="-17" w:type="dxa"/>
        <w:tblCellMar>
          <w:top w:w="39" w:type="dxa"/>
          <w:left w:w="108" w:type="dxa"/>
        </w:tblCellMar>
        <w:tblLook w:val="04A0" w:firstRow="1" w:lastRow="0" w:firstColumn="1" w:lastColumn="0" w:noHBand="0" w:noVBand="1"/>
      </w:tblPr>
      <w:tblGrid>
        <w:gridCol w:w="1080"/>
        <w:gridCol w:w="4705"/>
        <w:gridCol w:w="1056"/>
        <w:gridCol w:w="1592"/>
      </w:tblGrid>
      <w:tr w:rsidR="001C34A9">
        <w:trPr>
          <w:trHeight w:val="322"/>
        </w:trPr>
        <w:tc>
          <w:tcPr>
            <w:tcW w:w="1080"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序号 </w:t>
            </w:r>
          </w:p>
        </w:tc>
        <w:tc>
          <w:tcPr>
            <w:tcW w:w="4705"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内容 </w:t>
            </w:r>
          </w:p>
        </w:tc>
        <w:tc>
          <w:tcPr>
            <w:tcW w:w="1056"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页码 </w:t>
            </w:r>
          </w:p>
        </w:tc>
        <w:tc>
          <w:tcPr>
            <w:tcW w:w="1592"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备注 </w:t>
            </w:r>
          </w:p>
        </w:tc>
      </w:tr>
      <w:tr w:rsidR="001C34A9">
        <w:trPr>
          <w:trHeight w:val="322"/>
        </w:trPr>
        <w:tc>
          <w:tcPr>
            <w:tcW w:w="1080"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Z-0 </w:t>
            </w:r>
          </w:p>
        </w:tc>
        <w:tc>
          <w:tcPr>
            <w:tcW w:w="4705"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扉页、目录、注册基本信息 </w:t>
            </w:r>
          </w:p>
        </w:tc>
        <w:tc>
          <w:tcPr>
            <w:tcW w:w="1056"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1-4 </w:t>
            </w:r>
          </w:p>
        </w:tc>
        <w:tc>
          <w:tcPr>
            <w:tcW w:w="1592"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 </w:t>
            </w:r>
          </w:p>
        </w:tc>
      </w:tr>
      <w:tr w:rsidR="001C34A9">
        <w:trPr>
          <w:trHeight w:val="322"/>
        </w:trPr>
        <w:tc>
          <w:tcPr>
            <w:tcW w:w="1080"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Z-0-1 </w:t>
            </w:r>
          </w:p>
        </w:tc>
        <w:tc>
          <w:tcPr>
            <w:tcW w:w="4705"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信贷资产支持证券名称 </w:t>
            </w:r>
          </w:p>
        </w:tc>
        <w:tc>
          <w:tcPr>
            <w:tcW w:w="1056"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1 </w:t>
            </w:r>
          </w:p>
        </w:tc>
        <w:tc>
          <w:tcPr>
            <w:tcW w:w="1592"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 </w:t>
            </w:r>
          </w:p>
        </w:tc>
      </w:tr>
      <w:tr w:rsidR="001C34A9">
        <w:trPr>
          <w:trHeight w:val="324"/>
        </w:trPr>
        <w:tc>
          <w:tcPr>
            <w:tcW w:w="1080"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Z-0-2 </w:t>
            </w:r>
          </w:p>
        </w:tc>
        <w:tc>
          <w:tcPr>
            <w:tcW w:w="4705"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基础资产类型 </w:t>
            </w:r>
          </w:p>
        </w:tc>
        <w:tc>
          <w:tcPr>
            <w:tcW w:w="1056"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1 </w:t>
            </w:r>
          </w:p>
        </w:tc>
        <w:tc>
          <w:tcPr>
            <w:tcW w:w="1592"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 </w:t>
            </w:r>
          </w:p>
        </w:tc>
      </w:tr>
      <w:tr w:rsidR="001C34A9">
        <w:trPr>
          <w:trHeight w:val="946"/>
        </w:trPr>
        <w:tc>
          <w:tcPr>
            <w:tcW w:w="1080" w:type="dxa"/>
            <w:tcBorders>
              <w:top w:val="single" w:sz="4" w:space="0" w:color="000000"/>
              <w:left w:val="single" w:sz="4" w:space="0" w:color="000000"/>
              <w:bottom w:val="single" w:sz="4" w:space="0" w:color="000000"/>
              <w:right w:val="single" w:sz="4" w:space="0" w:color="000000"/>
            </w:tcBorders>
            <w:vAlign w:val="center"/>
          </w:tcPr>
          <w:p w:rsidR="001C34A9" w:rsidRDefault="00E242DB">
            <w:pPr>
              <w:ind w:left="0"/>
            </w:pPr>
            <w:r>
              <w:rPr>
                <w:sz w:val="24"/>
              </w:rPr>
              <w:t xml:space="preserve">Z-0-3 </w:t>
            </w:r>
          </w:p>
        </w:tc>
        <w:tc>
          <w:tcPr>
            <w:tcW w:w="4705"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信贷资产支持证券发行安排--写明本次注册的总金额及预计的发行期数及交易场所，如有必要可列明各期证券的发行时间段。 </w:t>
            </w:r>
          </w:p>
        </w:tc>
        <w:tc>
          <w:tcPr>
            <w:tcW w:w="1056" w:type="dxa"/>
            <w:tcBorders>
              <w:top w:val="single" w:sz="4" w:space="0" w:color="000000"/>
              <w:left w:val="single" w:sz="4" w:space="0" w:color="000000"/>
              <w:bottom w:val="single" w:sz="4" w:space="0" w:color="000000"/>
              <w:right w:val="single" w:sz="4" w:space="0" w:color="000000"/>
            </w:tcBorders>
            <w:vAlign w:val="center"/>
          </w:tcPr>
          <w:p w:rsidR="001C34A9" w:rsidRDefault="00E242DB">
            <w:pPr>
              <w:ind w:left="0"/>
            </w:pPr>
            <w:r>
              <w:rPr>
                <w:sz w:val="24"/>
              </w:rPr>
              <w:t xml:space="preserve">1 </w:t>
            </w:r>
          </w:p>
        </w:tc>
        <w:tc>
          <w:tcPr>
            <w:tcW w:w="1592"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 </w:t>
            </w:r>
          </w:p>
        </w:tc>
      </w:tr>
      <w:tr w:rsidR="001C34A9">
        <w:trPr>
          <w:trHeight w:val="1258"/>
        </w:trPr>
        <w:tc>
          <w:tcPr>
            <w:tcW w:w="1080" w:type="dxa"/>
            <w:tcBorders>
              <w:top w:val="single" w:sz="4" w:space="0" w:color="000000"/>
              <w:left w:val="single" w:sz="4" w:space="0" w:color="000000"/>
              <w:bottom w:val="single" w:sz="4" w:space="0" w:color="000000"/>
              <w:right w:val="single" w:sz="4" w:space="0" w:color="000000"/>
            </w:tcBorders>
            <w:vAlign w:val="center"/>
          </w:tcPr>
          <w:p w:rsidR="001C34A9" w:rsidRDefault="00E242DB">
            <w:pPr>
              <w:ind w:left="0"/>
            </w:pPr>
            <w:r>
              <w:rPr>
                <w:sz w:val="24"/>
              </w:rPr>
              <w:t xml:space="preserve">Z-0-4 </w:t>
            </w:r>
          </w:p>
        </w:tc>
        <w:tc>
          <w:tcPr>
            <w:tcW w:w="4705"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发行方式可选择招标或簿记建档，拟采用簿记建档发行的，应说明采用簿记建档发行的必要性，定价、配售的具体原则和方式，以及防范操作风险和不正当利益输送的措施。 </w:t>
            </w:r>
          </w:p>
        </w:tc>
        <w:tc>
          <w:tcPr>
            <w:tcW w:w="1056" w:type="dxa"/>
            <w:tcBorders>
              <w:top w:val="single" w:sz="4" w:space="0" w:color="000000"/>
              <w:left w:val="single" w:sz="4" w:space="0" w:color="000000"/>
              <w:bottom w:val="single" w:sz="4" w:space="0" w:color="000000"/>
              <w:right w:val="single" w:sz="4" w:space="0" w:color="000000"/>
            </w:tcBorders>
            <w:vAlign w:val="center"/>
          </w:tcPr>
          <w:p w:rsidR="001C34A9" w:rsidRDefault="00E242DB">
            <w:pPr>
              <w:ind w:left="0"/>
            </w:pPr>
            <w:r>
              <w:rPr>
                <w:sz w:val="24"/>
              </w:rPr>
              <w:t xml:space="preserve">1-2 </w:t>
            </w:r>
          </w:p>
        </w:tc>
        <w:tc>
          <w:tcPr>
            <w:tcW w:w="1592"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 </w:t>
            </w:r>
          </w:p>
        </w:tc>
      </w:tr>
      <w:tr w:rsidR="001C34A9">
        <w:trPr>
          <w:trHeight w:val="322"/>
        </w:trPr>
        <w:tc>
          <w:tcPr>
            <w:tcW w:w="1080"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Z-0-5 </w:t>
            </w:r>
          </w:p>
        </w:tc>
        <w:tc>
          <w:tcPr>
            <w:tcW w:w="4705" w:type="dxa"/>
            <w:tcBorders>
              <w:top w:val="single" w:sz="4" w:space="0" w:color="000000"/>
              <w:left w:val="single" w:sz="4" w:space="0" w:color="000000"/>
              <w:bottom w:val="single" w:sz="4" w:space="0" w:color="000000"/>
              <w:right w:val="single" w:sz="4" w:space="0" w:color="000000"/>
            </w:tcBorders>
          </w:tcPr>
          <w:p w:rsidR="001C34A9" w:rsidRDefault="00E242DB">
            <w:pPr>
              <w:ind w:left="0"/>
              <w:jc w:val="both"/>
            </w:pPr>
            <w:r>
              <w:rPr>
                <w:sz w:val="24"/>
              </w:rPr>
              <w:t xml:space="preserve">目录--标明各章、节的标题及相应的页码。 </w:t>
            </w:r>
          </w:p>
        </w:tc>
        <w:tc>
          <w:tcPr>
            <w:tcW w:w="1056"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3-4 </w:t>
            </w:r>
          </w:p>
        </w:tc>
        <w:tc>
          <w:tcPr>
            <w:tcW w:w="1592"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 </w:t>
            </w:r>
          </w:p>
        </w:tc>
      </w:tr>
      <w:tr w:rsidR="001C34A9">
        <w:trPr>
          <w:trHeight w:val="322"/>
        </w:trPr>
        <w:tc>
          <w:tcPr>
            <w:tcW w:w="1080"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Z-1 </w:t>
            </w:r>
          </w:p>
        </w:tc>
        <w:tc>
          <w:tcPr>
            <w:tcW w:w="4705"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投资风险提示 </w:t>
            </w:r>
          </w:p>
        </w:tc>
        <w:tc>
          <w:tcPr>
            <w:tcW w:w="1056"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5-9 </w:t>
            </w:r>
          </w:p>
        </w:tc>
        <w:tc>
          <w:tcPr>
            <w:tcW w:w="1592"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 </w:t>
            </w:r>
          </w:p>
        </w:tc>
      </w:tr>
      <w:tr w:rsidR="001C34A9">
        <w:trPr>
          <w:trHeight w:val="946"/>
        </w:trPr>
        <w:tc>
          <w:tcPr>
            <w:tcW w:w="1080" w:type="dxa"/>
            <w:tcBorders>
              <w:top w:val="single" w:sz="4" w:space="0" w:color="000000"/>
              <w:left w:val="single" w:sz="4" w:space="0" w:color="000000"/>
              <w:bottom w:val="single" w:sz="4" w:space="0" w:color="000000"/>
              <w:right w:val="single" w:sz="4" w:space="0" w:color="000000"/>
            </w:tcBorders>
            <w:vAlign w:val="center"/>
          </w:tcPr>
          <w:p w:rsidR="001C34A9" w:rsidRDefault="00E242DB">
            <w:pPr>
              <w:ind w:left="0"/>
            </w:pPr>
            <w:r>
              <w:rPr>
                <w:sz w:val="24"/>
              </w:rPr>
              <w:t xml:space="preserve">Z-1-1 </w:t>
            </w:r>
          </w:p>
        </w:tc>
        <w:tc>
          <w:tcPr>
            <w:tcW w:w="4705"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注册环节可预见的投资者面临的风险，例如早偿风险、信用风险、抵押物价值波动风险等，不同项目可根据实际情况列明。 </w:t>
            </w:r>
          </w:p>
        </w:tc>
        <w:tc>
          <w:tcPr>
            <w:tcW w:w="1056" w:type="dxa"/>
            <w:tcBorders>
              <w:top w:val="single" w:sz="4" w:space="0" w:color="000000"/>
              <w:left w:val="single" w:sz="4" w:space="0" w:color="000000"/>
              <w:bottom w:val="single" w:sz="4" w:space="0" w:color="000000"/>
              <w:right w:val="single" w:sz="4" w:space="0" w:color="000000"/>
            </w:tcBorders>
            <w:vAlign w:val="center"/>
          </w:tcPr>
          <w:p w:rsidR="001C34A9" w:rsidRDefault="00E242DB">
            <w:pPr>
              <w:ind w:left="0"/>
            </w:pPr>
            <w:r>
              <w:rPr>
                <w:sz w:val="24"/>
              </w:rPr>
              <w:t xml:space="preserve">5-9 </w:t>
            </w:r>
          </w:p>
        </w:tc>
        <w:tc>
          <w:tcPr>
            <w:tcW w:w="1592"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 </w:t>
            </w:r>
          </w:p>
        </w:tc>
      </w:tr>
      <w:tr w:rsidR="001C34A9">
        <w:trPr>
          <w:trHeight w:val="324"/>
        </w:trPr>
        <w:tc>
          <w:tcPr>
            <w:tcW w:w="1080"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Z-2 </w:t>
            </w:r>
          </w:p>
        </w:tc>
        <w:tc>
          <w:tcPr>
            <w:tcW w:w="4705"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参与机构信息 </w:t>
            </w:r>
          </w:p>
        </w:tc>
        <w:tc>
          <w:tcPr>
            <w:tcW w:w="1056"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10-34 </w:t>
            </w:r>
          </w:p>
        </w:tc>
        <w:tc>
          <w:tcPr>
            <w:tcW w:w="1592"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 </w:t>
            </w:r>
          </w:p>
        </w:tc>
      </w:tr>
      <w:tr w:rsidR="001C34A9">
        <w:trPr>
          <w:trHeight w:val="2194"/>
        </w:trPr>
        <w:tc>
          <w:tcPr>
            <w:tcW w:w="1080" w:type="dxa"/>
            <w:tcBorders>
              <w:top w:val="single" w:sz="4" w:space="0" w:color="000000"/>
              <w:left w:val="single" w:sz="4" w:space="0" w:color="000000"/>
              <w:bottom w:val="single" w:sz="4" w:space="0" w:color="000000"/>
              <w:right w:val="single" w:sz="4" w:space="0" w:color="000000"/>
            </w:tcBorders>
            <w:vAlign w:val="center"/>
          </w:tcPr>
          <w:p w:rsidR="001C34A9" w:rsidRDefault="00E242DB">
            <w:pPr>
              <w:ind w:left="0"/>
            </w:pPr>
            <w:r>
              <w:rPr>
                <w:sz w:val="24"/>
              </w:rPr>
              <w:t xml:space="preserve">Z-2-1 </w:t>
            </w:r>
          </w:p>
        </w:tc>
        <w:tc>
          <w:tcPr>
            <w:tcW w:w="4705" w:type="dxa"/>
            <w:tcBorders>
              <w:top w:val="single" w:sz="4" w:space="0" w:color="000000"/>
              <w:left w:val="single" w:sz="4" w:space="0" w:color="000000"/>
              <w:bottom w:val="single" w:sz="4" w:space="0" w:color="000000"/>
              <w:right w:val="single" w:sz="4" w:space="0" w:color="000000"/>
            </w:tcBorders>
          </w:tcPr>
          <w:p w:rsidR="001C34A9" w:rsidRDefault="00E242DB">
            <w:pPr>
              <w:ind w:left="0" w:right="-11"/>
            </w:pPr>
            <w:r>
              <w:rPr>
                <w:sz w:val="24"/>
              </w:rPr>
              <w:t xml:space="preserve">各参与机构的选任标准及程序--信贷资产证券化业务中对相关参与机构，包含受托机构、主承销商、联席主承销商（如有）、贷款服务机构、资金保管机构、信用评级机构、会计师事务所、律师事务所的选择标准及程序，包括但不限于参与机构的选任原则、选任标准与选任程序。 </w:t>
            </w:r>
          </w:p>
        </w:tc>
        <w:tc>
          <w:tcPr>
            <w:tcW w:w="1056" w:type="dxa"/>
            <w:tcBorders>
              <w:top w:val="single" w:sz="4" w:space="0" w:color="000000"/>
              <w:left w:val="single" w:sz="4" w:space="0" w:color="000000"/>
              <w:bottom w:val="single" w:sz="4" w:space="0" w:color="000000"/>
              <w:right w:val="single" w:sz="4" w:space="0" w:color="000000"/>
            </w:tcBorders>
            <w:vAlign w:val="center"/>
          </w:tcPr>
          <w:p w:rsidR="001C34A9" w:rsidRDefault="00E242DB">
            <w:pPr>
              <w:ind w:left="0"/>
            </w:pPr>
            <w:r>
              <w:rPr>
                <w:sz w:val="24"/>
              </w:rPr>
              <w:t xml:space="preserve">10-14 </w:t>
            </w:r>
          </w:p>
        </w:tc>
        <w:tc>
          <w:tcPr>
            <w:tcW w:w="1592"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 </w:t>
            </w:r>
          </w:p>
        </w:tc>
      </w:tr>
      <w:tr w:rsidR="001C34A9">
        <w:trPr>
          <w:trHeight w:val="2194"/>
        </w:trPr>
        <w:tc>
          <w:tcPr>
            <w:tcW w:w="1080" w:type="dxa"/>
            <w:tcBorders>
              <w:top w:val="single" w:sz="4" w:space="0" w:color="000000"/>
              <w:left w:val="single" w:sz="4" w:space="0" w:color="000000"/>
              <w:bottom w:val="single" w:sz="4" w:space="0" w:color="000000"/>
              <w:right w:val="single" w:sz="4" w:space="0" w:color="000000"/>
            </w:tcBorders>
            <w:vAlign w:val="center"/>
          </w:tcPr>
          <w:p w:rsidR="001C34A9" w:rsidRDefault="00E242DB">
            <w:pPr>
              <w:ind w:left="0"/>
            </w:pPr>
            <w:r>
              <w:rPr>
                <w:sz w:val="24"/>
              </w:rPr>
              <w:t xml:space="preserve">Z-2-2 </w:t>
            </w:r>
          </w:p>
        </w:tc>
        <w:tc>
          <w:tcPr>
            <w:tcW w:w="4705"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各参与机构名单。所披露的内容包括但不限于各参与机构的名称、注册地址、法定代表人、联系人、联系电话、传真、邮政编码、网址、基本情况简介、各参与机构的证券化经验、违约记录申明及机构之间的关联关系等。注册时受托机构必须唯一，其他参与机构可多选。 </w:t>
            </w:r>
          </w:p>
        </w:tc>
        <w:tc>
          <w:tcPr>
            <w:tcW w:w="1056" w:type="dxa"/>
            <w:tcBorders>
              <w:top w:val="single" w:sz="4" w:space="0" w:color="000000"/>
              <w:left w:val="single" w:sz="4" w:space="0" w:color="000000"/>
              <w:bottom w:val="single" w:sz="4" w:space="0" w:color="000000"/>
              <w:right w:val="single" w:sz="4" w:space="0" w:color="000000"/>
            </w:tcBorders>
            <w:vAlign w:val="center"/>
          </w:tcPr>
          <w:p w:rsidR="001C34A9" w:rsidRDefault="00E242DB">
            <w:pPr>
              <w:ind w:left="0"/>
            </w:pPr>
            <w:r>
              <w:rPr>
                <w:sz w:val="24"/>
              </w:rPr>
              <w:t xml:space="preserve">15-18 </w:t>
            </w:r>
          </w:p>
        </w:tc>
        <w:tc>
          <w:tcPr>
            <w:tcW w:w="1592"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 </w:t>
            </w:r>
          </w:p>
        </w:tc>
      </w:tr>
      <w:tr w:rsidR="001C34A9">
        <w:trPr>
          <w:trHeight w:val="1570"/>
        </w:trPr>
        <w:tc>
          <w:tcPr>
            <w:tcW w:w="1080" w:type="dxa"/>
            <w:tcBorders>
              <w:top w:val="single" w:sz="4" w:space="0" w:color="000000"/>
              <w:left w:val="single" w:sz="4" w:space="0" w:color="000000"/>
              <w:bottom w:val="single" w:sz="4" w:space="0" w:color="000000"/>
              <w:right w:val="single" w:sz="4" w:space="0" w:color="000000"/>
            </w:tcBorders>
            <w:vAlign w:val="center"/>
          </w:tcPr>
          <w:p w:rsidR="001C34A9" w:rsidRDefault="00E242DB">
            <w:pPr>
              <w:ind w:left="0"/>
            </w:pPr>
            <w:r>
              <w:rPr>
                <w:sz w:val="24"/>
              </w:rPr>
              <w:t xml:space="preserve">Z-2-3 </w:t>
            </w:r>
          </w:p>
        </w:tc>
        <w:tc>
          <w:tcPr>
            <w:tcW w:w="4705"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发起机构资产证券化业务管理办法摘要-明确发起机构资产证券化业务的制度和流程，包括但不限于对业务管理办法的总述、相关参与机构描述、各部门职责、资产证券化业务发起的内部流程等。 </w:t>
            </w:r>
          </w:p>
        </w:tc>
        <w:tc>
          <w:tcPr>
            <w:tcW w:w="1056" w:type="dxa"/>
            <w:tcBorders>
              <w:top w:val="single" w:sz="4" w:space="0" w:color="000000"/>
              <w:left w:val="single" w:sz="4" w:space="0" w:color="000000"/>
              <w:bottom w:val="single" w:sz="4" w:space="0" w:color="000000"/>
              <w:right w:val="single" w:sz="4" w:space="0" w:color="000000"/>
            </w:tcBorders>
            <w:vAlign w:val="center"/>
          </w:tcPr>
          <w:p w:rsidR="001C34A9" w:rsidRDefault="00E242DB">
            <w:pPr>
              <w:ind w:left="0"/>
            </w:pPr>
            <w:r>
              <w:rPr>
                <w:sz w:val="24"/>
              </w:rPr>
              <w:t xml:space="preserve">18-21 </w:t>
            </w:r>
          </w:p>
        </w:tc>
        <w:tc>
          <w:tcPr>
            <w:tcW w:w="1592"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 </w:t>
            </w:r>
          </w:p>
        </w:tc>
      </w:tr>
      <w:tr w:rsidR="001C34A9" w:rsidTr="00CC5C0F">
        <w:trPr>
          <w:trHeight w:val="1794"/>
        </w:trPr>
        <w:tc>
          <w:tcPr>
            <w:tcW w:w="1080" w:type="dxa"/>
            <w:tcBorders>
              <w:top w:val="single" w:sz="4" w:space="0" w:color="000000"/>
              <w:left w:val="single" w:sz="4" w:space="0" w:color="000000"/>
              <w:bottom w:val="single" w:sz="4" w:space="0" w:color="000000"/>
              <w:right w:val="single" w:sz="4" w:space="0" w:color="000000"/>
            </w:tcBorders>
            <w:vAlign w:val="center"/>
          </w:tcPr>
          <w:p w:rsidR="001C34A9" w:rsidRDefault="00E242DB">
            <w:pPr>
              <w:ind w:left="0"/>
            </w:pPr>
            <w:r>
              <w:rPr>
                <w:sz w:val="24"/>
              </w:rPr>
              <w:lastRenderedPageBreak/>
              <w:t xml:space="preserve">Z-2-4 </w:t>
            </w:r>
          </w:p>
        </w:tc>
        <w:tc>
          <w:tcPr>
            <w:tcW w:w="4705"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发起机构资产证券化业务操作规程摘要-明确发起机构资产证券化业务的具体操作规程，包括但不限于对操作规程的总述、发起机构启动资产证券化业务的具体操作流程，例如基础资产池构建及尽职调查、交易结构设计、法律文件准备、定价发行、投资</w:t>
            </w:r>
            <w:r w:rsidR="00CC5C0F">
              <w:rPr>
                <w:sz w:val="24"/>
              </w:rPr>
              <w:t>管理及会计处理、证券化信贷资产质量管理、风险监督与管理、合同管理等内容。</w:t>
            </w:r>
          </w:p>
        </w:tc>
        <w:tc>
          <w:tcPr>
            <w:tcW w:w="1056" w:type="dxa"/>
            <w:tcBorders>
              <w:top w:val="single" w:sz="4" w:space="0" w:color="000000"/>
              <w:left w:val="single" w:sz="4" w:space="0" w:color="000000"/>
              <w:bottom w:val="single" w:sz="4" w:space="0" w:color="000000"/>
              <w:right w:val="single" w:sz="4" w:space="0" w:color="000000"/>
            </w:tcBorders>
            <w:vAlign w:val="center"/>
          </w:tcPr>
          <w:p w:rsidR="001C34A9" w:rsidRDefault="00E242DB">
            <w:pPr>
              <w:ind w:left="0"/>
            </w:pPr>
            <w:r>
              <w:rPr>
                <w:sz w:val="24"/>
              </w:rPr>
              <w:t xml:space="preserve">21-25 </w:t>
            </w:r>
          </w:p>
        </w:tc>
        <w:tc>
          <w:tcPr>
            <w:tcW w:w="1592" w:type="dxa"/>
            <w:tcBorders>
              <w:top w:val="single" w:sz="4" w:space="0" w:color="000000"/>
              <w:left w:val="single" w:sz="4" w:space="0" w:color="000000"/>
              <w:bottom w:val="single" w:sz="4" w:space="0" w:color="000000"/>
              <w:right w:val="single" w:sz="4" w:space="0" w:color="000000"/>
            </w:tcBorders>
          </w:tcPr>
          <w:p w:rsidR="001C34A9" w:rsidRDefault="00E242DB">
            <w:pPr>
              <w:ind w:left="0"/>
            </w:pPr>
            <w:r>
              <w:rPr>
                <w:sz w:val="24"/>
              </w:rPr>
              <w:t xml:space="preserve"> </w:t>
            </w:r>
          </w:p>
        </w:tc>
      </w:tr>
    </w:tbl>
    <w:p w:rsidR="001C34A9" w:rsidRPr="00CC5C0F" w:rsidRDefault="001C34A9" w:rsidP="00CC5C0F">
      <w:pPr>
        <w:ind w:left="0" w:right="7233"/>
        <w:rPr>
          <w:rFonts w:eastAsiaTheme="minorEastAsia" w:hint="eastAsia"/>
        </w:rPr>
      </w:pPr>
    </w:p>
    <w:tbl>
      <w:tblPr>
        <w:tblStyle w:val="TableGrid"/>
        <w:tblW w:w="8433" w:type="dxa"/>
        <w:tblInd w:w="-17" w:type="dxa"/>
        <w:tblBorders>
          <w:top w:val="single" w:sz="4" w:space="0" w:color="auto"/>
          <w:left w:val="single" w:sz="4" w:space="0" w:color="000000"/>
          <w:bottom w:val="single" w:sz="4" w:space="0" w:color="000000"/>
          <w:right w:val="single" w:sz="4" w:space="0" w:color="000000"/>
          <w:insideH w:val="single" w:sz="4" w:space="0" w:color="000000"/>
          <w:insideV w:val="single" w:sz="4" w:space="0" w:color="000000"/>
        </w:tblBorders>
        <w:tblCellMar>
          <w:top w:w="34" w:type="dxa"/>
          <w:left w:w="108" w:type="dxa"/>
        </w:tblCellMar>
        <w:tblLook w:val="04A0" w:firstRow="1" w:lastRow="0" w:firstColumn="1" w:lastColumn="0" w:noHBand="0" w:noVBand="1"/>
      </w:tblPr>
      <w:tblGrid>
        <w:gridCol w:w="1080"/>
        <w:gridCol w:w="4705"/>
        <w:gridCol w:w="1056"/>
        <w:gridCol w:w="1592"/>
      </w:tblGrid>
      <w:tr w:rsidR="001C34A9" w:rsidTr="00CC5C0F">
        <w:trPr>
          <w:trHeight w:val="2818"/>
        </w:trPr>
        <w:tc>
          <w:tcPr>
            <w:tcW w:w="1080" w:type="dxa"/>
            <w:vAlign w:val="center"/>
          </w:tcPr>
          <w:p w:rsidR="001C34A9" w:rsidRDefault="00E242DB">
            <w:pPr>
              <w:ind w:left="0"/>
            </w:pPr>
            <w:r>
              <w:rPr>
                <w:sz w:val="24"/>
              </w:rPr>
              <w:t xml:space="preserve">Z-2-5 </w:t>
            </w:r>
          </w:p>
        </w:tc>
        <w:tc>
          <w:tcPr>
            <w:tcW w:w="4705" w:type="dxa"/>
          </w:tcPr>
          <w:p w:rsidR="001C34A9" w:rsidRDefault="00E242DB">
            <w:pPr>
              <w:ind w:left="0"/>
            </w:pPr>
            <w:r>
              <w:rPr>
                <w:sz w:val="24"/>
              </w:rPr>
              <w:t>发起机构资产证券化住房贷款服务管理办法摘要--明确发起机构作为资产的提供方贷款形成的标准、程序、以及其他影响贷款质量的制度规定，例如对管理办法的总述、各部门职责与分工、贷款服务方案的确定、贷款服务管理的内容以及授信内部评分的具体标准、抵押房产评估方法等，此外，应</w:t>
            </w:r>
          </w:p>
          <w:p w:rsidR="001C34A9" w:rsidRDefault="00E242DB">
            <w:pPr>
              <w:ind w:left="0"/>
            </w:pPr>
            <w:r>
              <w:rPr>
                <w:sz w:val="24"/>
              </w:rPr>
              <w:t xml:space="preserve">附上授信审核时借款人填写的授信申请表模板。 </w:t>
            </w:r>
          </w:p>
        </w:tc>
        <w:tc>
          <w:tcPr>
            <w:tcW w:w="1056" w:type="dxa"/>
            <w:vAlign w:val="center"/>
          </w:tcPr>
          <w:p w:rsidR="001C34A9" w:rsidRDefault="00E242DB">
            <w:pPr>
              <w:ind w:left="0"/>
            </w:pPr>
            <w:r>
              <w:rPr>
                <w:sz w:val="24"/>
              </w:rPr>
              <w:t xml:space="preserve">25-33 </w:t>
            </w:r>
          </w:p>
        </w:tc>
        <w:tc>
          <w:tcPr>
            <w:tcW w:w="1592" w:type="dxa"/>
            <w:vAlign w:val="center"/>
          </w:tcPr>
          <w:p w:rsidR="001C34A9" w:rsidRDefault="00E242DB">
            <w:pPr>
              <w:ind w:left="0"/>
            </w:pPr>
            <w:r>
              <w:rPr>
                <w:sz w:val="24"/>
              </w:rPr>
              <w:t xml:space="preserve"> </w:t>
            </w:r>
          </w:p>
        </w:tc>
      </w:tr>
      <w:tr w:rsidR="001C34A9" w:rsidTr="00CC5C0F">
        <w:trPr>
          <w:trHeight w:val="2093"/>
        </w:trPr>
        <w:tc>
          <w:tcPr>
            <w:tcW w:w="1080" w:type="dxa"/>
            <w:vAlign w:val="center"/>
          </w:tcPr>
          <w:p w:rsidR="001C34A9" w:rsidRDefault="00E242DB">
            <w:pPr>
              <w:ind w:left="0"/>
            </w:pPr>
            <w:r>
              <w:rPr>
                <w:sz w:val="24"/>
              </w:rPr>
              <w:t xml:space="preserve">Z-2-6 </w:t>
            </w:r>
          </w:p>
        </w:tc>
        <w:tc>
          <w:tcPr>
            <w:tcW w:w="4705" w:type="dxa"/>
          </w:tcPr>
          <w:p w:rsidR="001C34A9" w:rsidRDefault="00E242DB">
            <w:pPr>
              <w:ind w:left="0"/>
            </w:pPr>
            <w:r>
              <w:rPr>
                <w:sz w:val="24"/>
              </w:rPr>
              <w:t xml:space="preserve">贷款服务机构资产证券化住房贷款服务管理办法摘要--贷款服务机构信贷资产证券化贷款服务管理办法等相关管理办法的介绍，包括但不限于内部评级制度、授信额度确定办法、贷前调查办法、信贷审批流程、贷款发放、贷后管理办法、贷款担保审核方法、违约贷款处置程序、抵押物房产处置方法等。 </w:t>
            </w:r>
          </w:p>
        </w:tc>
        <w:tc>
          <w:tcPr>
            <w:tcW w:w="1056" w:type="dxa"/>
            <w:vAlign w:val="center"/>
          </w:tcPr>
          <w:p w:rsidR="001C34A9" w:rsidRDefault="00E242DB">
            <w:pPr>
              <w:ind w:left="0"/>
            </w:pPr>
            <w:r>
              <w:rPr>
                <w:sz w:val="24"/>
              </w:rPr>
              <w:t xml:space="preserve">25-33 </w:t>
            </w:r>
          </w:p>
        </w:tc>
        <w:tc>
          <w:tcPr>
            <w:tcW w:w="1592" w:type="dxa"/>
            <w:vAlign w:val="center"/>
          </w:tcPr>
          <w:p w:rsidR="001C34A9" w:rsidRDefault="00E242DB">
            <w:pPr>
              <w:ind w:left="0"/>
            </w:pPr>
            <w:r>
              <w:rPr>
                <w:sz w:val="24"/>
              </w:rPr>
              <w:t xml:space="preserve">发起机构与贷款服务机构为同一家机构，贷款管理办法合并撰写 </w:t>
            </w:r>
          </w:p>
        </w:tc>
      </w:tr>
      <w:tr w:rsidR="001C34A9" w:rsidTr="00CC5C0F">
        <w:trPr>
          <w:trHeight w:val="1570"/>
        </w:trPr>
        <w:tc>
          <w:tcPr>
            <w:tcW w:w="1080" w:type="dxa"/>
            <w:vAlign w:val="center"/>
          </w:tcPr>
          <w:p w:rsidR="001C34A9" w:rsidRDefault="00E242DB">
            <w:pPr>
              <w:ind w:left="0"/>
            </w:pPr>
            <w:r>
              <w:rPr>
                <w:sz w:val="24"/>
              </w:rPr>
              <w:t xml:space="preserve">Z-2-7 </w:t>
            </w:r>
          </w:p>
        </w:tc>
        <w:tc>
          <w:tcPr>
            <w:tcW w:w="4705" w:type="dxa"/>
          </w:tcPr>
          <w:p w:rsidR="001C34A9" w:rsidRDefault="00E242DB">
            <w:pPr>
              <w:ind w:left="0"/>
            </w:pPr>
            <w:r>
              <w:rPr>
                <w:sz w:val="24"/>
              </w:rPr>
              <w:t xml:space="preserve">受托机构对信托财产的投资管理安排--明确受托机构对信托财产的具体投资管理安排，包括但不限于受托机构对信托财产账户中的资金进行投资运用的投资范围、标准、原则及方式等。 </w:t>
            </w:r>
          </w:p>
        </w:tc>
        <w:tc>
          <w:tcPr>
            <w:tcW w:w="1056" w:type="dxa"/>
            <w:vAlign w:val="center"/>
          </w:tcPr>
          <w:p w:rsidR="001C34A9" w:rsidRDefault="00E242DB">
            <w:pPr>
              <w:ind w:left="0"/>
            </w:pPr>
            <w:r>
              <w:rPr>
                <w:sz w:val="24"/>
              </w:rPr>
              <w:t xml:space="preserve">33-34 </w:t>
            </w:r>
          </w:p>
        </w:tc>
        <w:tc>
          <w:tcPr>
            <w:tcW w:w="1592" w:type="dxa"/>
          </w:tcPr>
          <w:p w:rsidR="001C34A9" w:rsidRDefault="00E242DB">
            <w:pPr>
              <w:ind w:left="0"/>
            </w:pPr>
            <w:r>
              <w:rPr>
                <w:sz w:val="24"/>
              </w:rPr>
              <w:t xml:space="preserve"> </w:t>
            </w:r>
          </w:p>
        </w:tc>
      </w:tr>
      <w:tr w:rsidR="001C34A9" w:rsidTr="00CC5C0F">
        <w:trPr>
          <w:trHeight w:val="322"/>
        </w:trPr>
        <w:tc>
          <w:tcPr>
            <w:tcW w:w="1080" w:type="dxa"/>
          </w:tcPr>
          <w:p w:rsidR="001C34A9" w:rsidRDefault="00E242DB">
            <w:pPr>
              <w:ind w:left="0"/>
            </w:pPr>
            <w:r>
              <w:rPr>
                <w:sz w:val="24"/>
              </w:rPr>
              <w:t xml:space="preserve">Z-3 </w:t>
            </w:r>
          </w:p>
        </w:tc>
        <w:tc>
          <w:tcPr>
            <w:tcW w:w="4705" w:type="dxa"/>
          </w:tcPr>
          <w:p w:rsidR="001C34A9" w:rsidRDefault="00E242DB">
            <w:pPr>
              <w:ind w:left="0"/>
            </w:pPr>
            <w:r>
              <w:rPr>
                <w:sz w:val="24"/>
              </w:rPr>
              <w:t xml:space="preserve">交易条款信息 </w:t>
            </w:r>
          </w:p>
        </w:tc>
        <w:tc>
          <w:tcPr>
            <w:tcW w:w="1056" w:type="dxa"/>
          </w:tcPr>
          <w:p w:rsidR="001C34A9" w:rsidRDefault="00E242DB">
            <w:pPr>
              <w:ind w:left="0"/>
            </w:pPr>
            <w:r>
              <w:rPr>
                <w:sz w:val="24"/>
              </w:rPr>
              <w:t xml:space="preserve">34-47 </w:t>
            </w:r>
          </w:p>
        </w:tc>
        <w:tc>
          <w:tcPr>
            <w:tcW w:w="1592" w:type="dxa"/>
          </w:tcPr>
          <w:p w:rsidR="001C34A9" w:rsidRDefault="00E242DB">
            <w:pPr>
              <w:ind w:left="0"/>
            </w:pPr>
            <w:r>
              <w:rPr>
                <w:sz w:val="24"/>
              </w:rPr>
              <w:t xml:space="preserve"> </w:t>
            </w:r>
          </w:p>
        </w:tc>
      </w:tr>
      <w:tr w:rsidR="001C34A9" w:rsidTr="00CC5C0F">
        <w:trPr>
          <w:trHeight w:val="1570"/>
        </w:trPr>
        <w:tc>
          <w:tcPr>
            <w:tcW w:w="1080" w:type="dxa"/>
            <w:vAlign w:val="center"/>
          </w:tcPr>
          <w:p w:rsidR="001C34A9" w:rsidRDefault="00E242DB">
            <w:pPr>
              <w:ind w:left="0"/>
            </w:pPr>
            <w:r>
              <w:rPr>
                <w:sz w:val="24"/>
              </w:rPr>
              <w:t xml:space="preserve">Z-3-1 </w:t>
            </w:r>
          </w:p>
        </w:tc>
        <w:tc>
          <w:tcPr>
            <w:tcW w:w="4705" w:type="dxa"/>
          </w:tcPr>
          <w:p w:rsidR="001C34A9" w:rsidRDefault="00E242DB">
            <w:pPr>
              <w:ind w:left="0"/>
            </w:pPr>
            <w:r>
              <w:rPr>
                <w:sz w:val="24"/>
              </w:rPr>
              <w:t xml:space="preserve">交易结构及各当事方的主要权利与义务-明确各参与机构在交易文件中确定的权力和义务。包含受托机构、发起机构、贷款服务机构、资金保管机构、主承销商、联席主承销商（如有）。 </w:t>
            </w:r>
          </w:p>
        </w:tc>
        <w:tc>
          <w:tcPr>
            <w:tcW w:w="1056" w:type="dxa"/>
            <w:vAlign w:val="center"/>
          </w:tcPr>
          <w:p w:rsidR="001C34A9" w:rsidRDefault="00E242DB">
            <w:pPr>
              <w:ind w:left="0"/>
            </w:pPr>
            <w:r>
              <w:rPr>
                <w:sz w:val="24"/>
              </w:rPr>
              <w:t xml:space="preserve">34-40 </w:t>
            </w:r>
          </w:p>
        </w:tc>
        <w:tc>
          <w:tcPr>
            <w:tcW w:w="1592" w:type="dxa"/>
          </w:tcPr>
          <w:p w:rsidR="001C34A9" w:rsidRDefault="00E242DB">
            <w:pPr>
              <w:ind w:left="0"/>
            </w:pPr>
            <w:r>
              <w:rPr>
                <w:sz w:val="24"/>
              </w:rPr>
              <w:t xml:space="preserve"> </w:t>
            </w:r>
          </w:p>
        </w:tc>
      </w:tr>
      <w:tr w:rsidR="001C34A9" w:rsidTr="00CC5C0F">
        <w:trPr>
          <w:trHeight w:val="98"/>
        </w:trPr>
        <w:tc>
          <w:tcPr>
            <w:tcW w:w="1080" w:type="dxa"/>
            <w:vAlign w:val="center"/>
          </w:tcPr>
          <w:p w:rsidR="001C34A9" w:rsidRDefault="00E242DB">
            <w:pPr>
              <w:ind w:left="0"/>
            </w:pPr>
            <w:r>
              <w:rPr>
                <w:sz w:val="24"/>
              </w:rPr>
              <w:t xml:space="preserve">Z-3-2 </w:t>
            </w:r>
          </w:p>
        </w:tc>
        <w:tc>
          <w:tcPr>
            <w:tcW w:w="4705" w:type="dxa"/>
          </w:tcPr>
          <w:p w:rsidR="001C34A9" w:rsidRDefault="00E242DB">
            <w:pPr>
              <w:ind w:left="0"/>
            </w:pPr>
            <w:r>
              <w:rPr>
                <w:sz w:val="24"/>
              </w:rPr>
              <w:t>预计信托账户设置--交易中账户的开立情况，如信托收款账户（本金分账户、收入分账户）、信托付款账户、混同专用账、抵销专用账、服务转移和通知专用账、税收专用账的设置情况等，各项目可根据实际情况披</w:t>
            </w:r>
            <w:r>
              <w:rPr>
                <w:sz w:val="24"/>
              </w:rPr>
              <w:lastRenderedPageBreak/>
              <w:t xml:space="preserve">露，发行环节如有调整，需要在发行说明书中说明。 </w:t>
            </w:r>
          </w:p>
        </w:tc>
        <w:tc>
          <w:tcPr>
            <w:tcW w:w="1056" w:type="dxa"/>
            <w:vAlign w:val="center"/>
          </w:tcPr>
          <w:p w:rsidR="001C34A9" w:rsidRDefault="00E242DB">
            <w:pPr>
              <w:ind w:left="0"/>
            </w:pPr>
            <w:r>
              <w:rPr>
                <w:sz w:val="24"/>
              </w:rPr>
              <w:lastRenderedPageBreak/>
              <w:t xml:space="preserve">41-41 </w:t>
            </w:r>
          </w:p>
        </w:tc>
        <w:tc>
          <w:tcPr>
            <w:tcW w:w="1592" w:type="dxa"/>
          </w:tcPr>
          <w:p w:rsidR="001C34A9" w:rsidRDefault="00E242DB">
            <w:pPr>
              <w:ind w:left="0"/>
            </w:pPr>
            <w:r>
              <w:rPr>
                <w:sz w:val="24"/>
              </w:rPr>
              <w:t xml:space="preserve"> </w:t>
            </w:r>
          </w:p>
        </w:tc>
      </w:tr>
      <w:tr w:rsidR="001C34A9" w:rsidTr="00CC5C0F">
        <w:trPr>
          <w:trHeight w:val="948"/>
        </w:trPr>
        <w:tc>
          <w:tcPr>
            <w:tcW w:w="1080" w:type="dxa"/>
            <w:vAlign w:val="center"/>
          </w:tcPr>
          <w:p w:rsidR="001C34A9" w:rsidRDefault="00E242DB">
            <w:pPr>
              <w:ind w:left="0"/>
            </w:pPr>
            <w:r>
              <w:rPr>
                <w:sz w:val="24"/>
              </w:rPr>
              <w:lastRenderedPageBreak/>
              <w:t xml:space="preserve">Z-3-3 </w:t>
            </w:r>
          </w:p>
        </w:tc>
        <w:tc>
          <w:tcPr>
            <w:tcW w:w="4705" w:type="dxa"/>
          </w:tcPr>
          <w:p w:rsidR="001C34A9" w:rsidRDefault="00E242DB">
            <w:pPr>
              <w:ind w:left="0" w:right="71"/>
              <w:jc w:val="both"/>
            </w:pPr>
            <w:r>
              <w:rPr>
                <w:sz w:val="24"/>
              </w:rPr>
              <w:t>各交易条款设置—例如回购交易条款、赎回交易条款、终止交易条款等，若在结构设计上涉及到其他类似的交易条款，可按以上规</w:t>
            </w:r>
            <w:r w:rsidR="00195CEB">
              <w:rPr>
                <w:sz w:val="24"/>
              </w:rPr>
              <w:t>则进行披露。</w:t>
            </w:r>
          </w:p>
        </w:tc>
        <w:tc>
          <w:tcPr>
            <w:tcW w:w="1056" w:type="dxa"/>
            <w:vAlign w:val="center"/>
          </w:tcPr>
          <w:p w:rsidR="001C34A9" w:rsidRDefault="00E242DB">
            <w:pPr>
              <w:ind w:left="0"/>
            </w:pPr>
            <w:r>
              <w:rPr>
                <w:sz w:val="24"/>
              </w:rPr>
              <w:t xml:space="preserve">41-45 </w:t>
            </w:r>
          </w:p>
        </w:tc>
        <w:tc>
          <w:tcPr>
            <w:tcW w:w="1592" w:type="dxa"/>
          </w:tcPr>
          <w:p w:rsidR="001C34A9" w:rsidRDefault="00E242DB">
            <w:pPr>
              <w:ind w:left="0"/>
            </w:pPr>
            <w:r>
              <w:rPr>
                <w:sz w:val="24"/>
              </w:rPr>
              <w:t xml:space="preserve"> </w:t>
            </w:r>
          </w:p>
        </w:tc>
      </w:tr>
      <w:tr w:rsidR="001C34A9" w:rsidTr="00CC5C0F">
        <w:trPr>
          <w:trHeight w:val="1570"/>
        </w:trPr>
        <w:tc>
          <w:tcPr>
            <w:tcW w:w="1080" w:type="dxa"/>
            <w:vAlign w:val="center"/>
          </w:tcPr>
          <w:p w:rsidR="001C34A9" w:rsidRDefault="00E242DB">
            <w:pPr>
              <w:ind w:left="0"/>
            </w:pPr>
            <w:r>
              <w:rPr>
                <w:sz w:val="24"/>
              </w:rPr>
              <w:t xml:space="preserve">Z-3-4 </w:t>
            </w:r>
          </w:p>
        </w:tc>
        <w:tc>
          <w:tcPr>
            <w:tcW w:w="4705" w:type="dxa"/>
          </w:tcPr>
          <w:p w:rsidR="001C34A9" w:rsidRDefault="00E242DB">
            <w:pPr>
              <w:ind w:left="0"/>
            </w:pPr>
            <w:r>
              <w:rPr>
                <w:sz w:val="24"/>
              </w:rPr>
              <w:t xml:space="preserve">各触发条件设置—例如违约事件触发条件、加速清偿事件触发条件、权利完善事件触发条件、个别通知事件触发条件等，若在结构设计上涉及到其他类似的触发条件，可按以上规则进行披露。 </w:t>
            </w:r>
          </w:p>
        </w:tc>
        <w:tc>
          <w:tcPr>
            <w:tcW w:w="1056" w:type="dxa"/>
            <w:vAlign w:val="center"/>
          </w:tcPr>
          <w:p w:rsidR="001C34A9" w:rsidRDefault="00E242DB">
            <w:pPr>
              <w:ind w:left="0"/>
            </w:pPr>
            <w:r>
              <w:rPr>
                <w:sz w:val="24"/>
              </w:rPr>
              <w:t xml:space="preserve">45-47 </w:t>
            </w:r>
          </w:p>
        </w:tc>
        <w:tc>
          <w:tcPr>
            <w:tcW w:w="1592" w:type="dxa"/>
          </w:tcPr>
          <w:p w:rsidR="001C34A9" w:rsidRDefault="00E242DB">
            <w:pPr>
              <w:ind w:left="0"/>
            </w:pPr>
            <w:r>
              <w:rPr>
                <w:sz w:val="24"/>
              </w:rPr>
              <w:t xml:space="preserve"> </w:t>
            </w:r>
          </w:p>
        </w:tc>
      </w:tr>
      <w:tr w:rsidR="001C34A9" w:rsidTr="00CC5C0F">
        <w:trPr>
          <w:trHeight w:val="322"/>
        </w:trPr>
        <w:tc>
          <w:tcPr>
            <w:tcW w:w="1080" w:type="dxa"/>
          </w:tcPr>
          <w:p w:rsidR="001C34A9" w:rsidRDefault="00E242DB">
            <w:pPr>
              <w:ind w:left="0"/>
            </w:pPr>
            <w:r>
              <w:rPr>
                <w:sz w:val="24"/>
              </w:rPr>
              <w:t xml:space="preserve">Z-4 </w:t>
            </w:r>
          </w:p>
        </w:tc>
        <w:tc>
          <w:tcPr>
            <w:tcW w:w="4705" w:type="dxa"/>
          </w:tcPr>
          <w:p w:rsidR="001C34A9" w:rsidRDefault="00E242DB">
            <w:pPr>
              <w:ind w:left="0"/>
            </w:pPr>
            <w:r>
              <w:rPr>
                <w:sz w:val="24"/>
              </w:rPr>
              <w:t xml:space="preserve">基础资产筛选标准 </w:t>
            </w:r>
          </w:p>
        </w:tc>
        <w:tc>
          <w:tcPr>
            <w:tcW w:w="1056" w:type="dxa"/>
          </w:tcPr>
          <w:p w:rsidR="001C34A9" w:rsidRDefault="00E242DB">
            <w:pPr>
              <w:ind w:left="0"/>
            </w:pPr>
            <w:r>
              <w:rPr>
                <w:sz w:val="24"/>
              </w:rPr>
              <w:t xml:space="preserve">48-52 </w:t>
            </w:r>
          </w:p>
        </w:tc>
        <w:tc>
          <w:tcPr>
            <w:tcW w:w="1592" w:type="dxa"/>
          </w:tcPr>
          <w:p w:rsidR="001C34A9" w:rsidRDefault="00E242DB">
            <w:pPr>
              <w:ind w:left="0"/>
            </w:pPr>
            <w:r>
              <w:rPr>
                <w:sz w:val="24"/>
              </w:rPr>
              <w:t xml:space="preserve"> </w:t>
            </w:r>
          </w:p>
        </w:tc>
      </w:tr>
      <w:tr w:rsidR="001C34A9" w:rsidTr="00CC5C0F">
        <w:trPr>
          <w:trHeight w:val="2194"/>
        </w:trPr>
        <w:tc>
          <w:tcPr>
            <w:tcW w:w="1080" w:type="dxa"/>
            <w:vAlign w:val="center"/>
          </w:tcPr>
          <w:p w:rsidR="001C34A9" w:rsidRDefault="00E242DB">
            <w:pPr>
              <w:ind w:left="0"/>
            </w:pPr>
            <w:r>
              <w:rPr>
                <w:sz w:val="24"/>
              </w:rPr>
              <w:t xml:space="preserve">Z-4-1 </w:t>
            </w:r>
          </w:p>
        </w:tc>
        <w:tc>
          <w:tcPr>
            <w:tcW w:w="4705" w:type="dxa"/>
          </w:tcPr>
          <w:p w:rsidR="001C34A9" w:rsidRDefault="00E242DB">
            <w:pPr>
              <w:ind w:left="0"/>
            </w:pPr>
            <w:r>
              <w:rPr>
                <w:sz w:val="24"/>
              </w:rPr>
              <w:t xml:space="preserve">合格标准--明确该期入池资产的合格标准，即选定入池资产的硬性标准，不符合该标准的资产应予以赎回，或不能入池。原则上包括但不限于以下信息：是否出现本息逾期、贷款币种、是否涉及诉讼、贷款五级分类、合同到期期限范围、还款计划是否明确、抵押物所在城市的要求等。 </w:t>
            </w:r>
          </w:p>
        </w:tc>
        <w:tc>
          <w:tcPr>
            <w:tcW w:w="1056" w:type="dxa"/>
            <w:vAlign w:val="center"/>
          </w:tcPr>
          <w:p w:rsidR="001C34A9" w:rsidRDefault="00E242DB">
            <w:pPr>
              <w:ind w:left="0"/>
            </w:pPr>
            <w:r>
              <w:rPr>
                <w:sz w:val="24"/>
              </w:rPr>
              <w:t xml:space="preserve">48-50 </w:t>
            </w:r>
          </w:p>
        </w:tc>
        <w:tc>
          <w:tcPr>
            <w:tcW w:w="1592" w:type="dxa"/>
          </w:tcPr>
          <w:p w:rsidR="001C34A9" w:rsidRDefault="00E242DB">
            <w:pPr>
              <w:ind w:left="0"/>
            </w:pPr>
            <w:r>
              <w:rPr>
                <w:sz w:val="24"/>
              </w:rPr>
              <w:t xml:space="preserve"> </w:t>
            </w:r>
          </w:p>
        </w:tc>
      </w:tr>
      <w:tr w:rsidR="001C34A9" w:rsidTr="00CC5C0F">
        <w:trPr>
          <w:trHeight w:val="946"/>
        </w:trPr>
        <w:tc>
          <w:tcPr>
            <w:tcW w:w="1080" w:type="dxa"/>
            <w:vAlign w:val="center"/>
          </w:tcPr>
          <w:p w:rsidR="001C34A9" w:rsidRDefault="00E242DB">
            <w:pPr>
              <w:ind w:left="0"/>
            </w:pPr>
            <w:r>
              <w:rPr>
                <w:sz w:val="24"/>
              </w:rPr>
              <w:t xml:space="preserve">Z-4-2 </w:t>
            </w:r>
          </w:p>
        </w:tc>
        <w:tc>
          <w:tcPr>
            <w:tcW w:w="4705" w:type="dxa"/>
          </w:tcPr>
          <w:p w:rsidR="001C34A9" w:rsidRDefault="00E242DB">
            <w:pPr>
              <w:ind w:left="0"/>
            </w:pPr>
            <w:r>
              <w:rPr>
                <w:sz w:val="24"/>
              </w:rPr>
              <w:t xml:space="preserve">资产保证--指委托人在约定中所做的关于资产池以及每一笔贷款在初始起算日和信托财产交付日的状况的全部陈述和保证。 </w:t>
            </w:r>
          </w:p>
        </w:tc>
        <w:tc>
          <w:tcPr>
            <w:tcW w:w="1056" w:type="dxa"/>
            <w:vAlign w:val="center"/>
          </w:tcPr>
          <w:p w:rsidR="001C34A9" w:rsidRDefault="00E242DB">
            <w:pPr>
              <w:ind w:left="0"/>
            </w:pPr>
            <w:r>
              <w:rPr>
                <w:sz w:val="24"/>
              </w:rPr>
              <w:t xml:space="preserve">50-52 </w:t>
            </w:r>
          </w:p>
        </w:tc>
        <w:tc>
          <w:tcPr>
            <w:tcW w:w="1592" w:type="dxa"/>
          </w:tcPr>
          <w:p w:rsidR="001C34A9" w:rsidRDefault="00E242DB">
            <w:pPr>
              <w:ind w:left="0"/>
            </w:pPr>
            <w:r>
              <w:rPr>
                <w:sz w:val="24"/>
              </w:rPr>
              <w:t xml:space="preserve"> </w:t>
            </w:r>
          </w:p>
        </w:tc>
      </w:tr>
      <w:tr w:rsidR="001C34A9" w:rsidTr="00CC5C0F">
        <w:trPr>
          <w:trHeight w:val="322"/>
        </w:trPr>
        <w:tc>
          <w:tcPr>
            <w:tcW w:w="1080" w:type="dxa"/>
          </w:tcPr>
          <w:p w:rsidR="001C34A9" w:rsidRDefault="00E242DB">
            <w:pPr>
              <w:ind w:left="0"/>
            </w:pPr>
            <w:r>
              <w:rPr>
                <w:sz w:val="24"/>
              </w:rPr>
              <w:t xml:space="preserve">Z-5 </w:t>
            </w:r>
          </w:p>
        </w:tc>
        <w:tc>
          <w:tcPr>
            <w:tcW w:w="4705" w:type="dxa"/>
          </w:tcPr>
          <w:p w:rsidR="001C34A9" w:rsidRDefault="00E242DB">
            <w:pPr>
              <w:ind w:left="0"/>
            </w:pPr>
            <w:r>
              <w:rPr>
                <w:sz w:val="24"/>
              </w:rPr>
              <w:t xml:space="preserve">历史数据信息 </w:t>
            </w:r>
          </w:p>
        </w:tc>
        <w:tc>
          <w:tcPr>
            <w:tcW w:w="1056" w:type="dxa"/>
          </w:tcPr>
          <w:p w:rsidR="001C34A9" w:rsidRDefault="00E242DB">
            <w:pPr>
              <w:ind w:left="0"/>
              <w:jc w:val="both"/>
            </w:pPr>
            <w:r>
              <w:rPr>
                <w:sz w:val="24"/>
              </w:rPr>
              <w:t xml:space="preserve">53-198 </w:t>
            </w:r>
          </w:p>
        </w:tc>
        <w:tc>
          <w:tcPr>
            <w:tcW w:w="1592" w:type="dxa"/>
          </w:tcPr>
          <w:p w:rsidR="001C34A9" w:rsidRDefault="00E242DB">
            <w:pPr>
              <w:ind w:left="0"/>
            </w:pPr>
            <w:r>
              <w:rPr>
                <w:sz w:val="24"/>
              </w:rPr>
              <w:t xml:space="preserve"> </w:t>
            </w:r>
          </w:p>
        </w:tc>
      </w:tr>
      <w:tr w:rsidR="001C34A9" w:rsidTr="00CC5C0F">
        <w:trPr>
          <w:trHeight w:val="1570"/>
        </w:trPr>
        <w:tc>
          <w:tcPr>
            <w:tcW w:w="1080" w:type="dxa"/>
            <w:vAlign w:val="center"/>
          </w:tcPr>
          <w:p w:rsidR="001C34A9" w:rsidRDefault="00E242DB">
            <w:pPr>
              <w:ind w:left="0"/>
            </w:pPr>
            <w:r>
              <w:rPr>
                <w:sz w:val="24"/>
              </w:rPr>
              <w:t xml:space="preserve">Z-5-1 </w:t>
            </w:r>
          </w:p>
        </w:tc>
        <w:tc>
          <w:tcPr>
            <w:tcW w:w="4705" w:type="dxa"/>
          </w:tcPr>
          <w:p w:rsidR="001C34A9" w:rsidRDefault="00E242DB">
            <w:pPr>
              <w:ind w:left="0" w:right="-12"/>
            </w:pPr>
            <w:r>
              <w:rPr>
                <w:sz w:val="24"/>
              </w:rPr>
              <w:t xml:space="preserve">动态数据信息5--每期期初笔数、期初余额、新增贷款金额、部分早偿金额、全部早偿金额、正常金额、拖欠1-30天金额、拖欠31-60 天金额、拖欠61-90天金额、拖欠91-120 天金额、拖欠120天以上金额等。 </w:t>
            </w:r>
          </w:p>
        </w:tc>
        <w:tc>
          <w:tcPr>
            <w:tcW w:w="1056" w:type="dxa"/>
            <w:vAlign w:val="center"/>
          </w:tcPr>
          <w:p w:rsidR="001C34A9" w:rsidRDefault="00E242DB">
            <w:pPr>
              <w:ind w:left="0"/>
            </w:pPr>
            <w:r>
              <w:rPr>
                <w:sz w:val="24"/>
              </w:rPr>
              <w:t xml:space="preserve">53-57 </w:t>
            </w:r>
          </w:p>
        </w:tc>
        <w:tc>
          <w:tcPr>
            <w:tcW w:w="1592" w:type="dxa"/>
            <w:vAlign w:val="center"/>
          </w:tcPr>
          <w:p w:rsidR="001C34A9" w:rsidRDefault="00E242DB">
            <w:pPr>
              <w:ind w:left="0"/>
            </w:pPr>
            <w:r>
              <w:rPr>
                <w:sz w:val="24"/>
              </w:rPr>
              <w:t xml:space="preserve"> </w:t>
            </w:r>
          </w:p>
        </w:tc>
      </w:tr>
      <w:tr w:rsidR="001C34A9" w:rsidTr="00CC5C0F">
        <w:trPr>
          <w:trHeight w:val="1572"/>
        </w:trPr>
        <w:tc>
          <w:tcPr>
            <w:tcW w:w="1080" w:type="dxa"/>
            <w:vAlign w:val="center"/>
          </w:tcPr>
          <w:p w:rsidR="001C34A9" w:rsidRDefault="00E242DB">
            <w:pPr>
              <w:ind w:left="0"/>
            </w:pPr>
            <w:r>
              <w:rPr>
                <w:sz w:val="24"/>
              </w:rPr>
              <w:t xml:space="preserve">Z-5-2 </w:t>
            </w:r>
          </w:p>
        </w:tc>
        <w:tc>
          <w:tcPr>
            <w:tcW w:w="4705" w:type="dxa"/>
          </w:tcPr>
          <w:p w:rsidR="001C34A9" w:rsidRDefault="00E242DB">
            <w:pPr>
              <w:ind w:left="0"/>
            </w:pPr>
            <w:r>
              <w:rPr>
                <w:sz w:val="24"/>
              </w:rPr>
              <w:t xml:space="preserve">静态数据信息--每个静态池的期初笔数、期初余额、部分早偿金额、全部早偿金额、正常金额、拖欠1-30天金额、拖欠31-60天金额、拖欠61-90天金额、拖欠91-120天金额、拖欠120天以上金额等。 </w:t>
            </w:r>
          </w:p>
        </w:tc>
        <w:tc>
          <w:tcPr>
            <w:tcW w:w="1056" w:type="dxa"/>
            <w:vAlign w:val="center"/>
          </w:tcPr>
          <w:p w:rsidR="001C34A9" w:rsidRDefault="00E242DB">
            <w:pPr>
              <w:ind w:left="0"/>
              <w:jc w:val="both"/>
            </w:pPr>
            <w:r>
              <w:rPr>
                <w:sz w:val="24"/>
              </w:rPr>
              <w:t xml:space="preserve">58-198 </w:t>
            </w:r>
          </w:p>
        </w:tc>
        <w:tc>
          <w:tcPr>
            <w:tcW w:w="1592" w:type="dxa"/>
            <w:vAlign w:val="center"/>
          </w:tcPr>
          <w:p w:rsidR="001C34A9" w:rsidRDefault="00E242DB">
            <w:pPr>
              <w:ind w:left="0"/>
            </w:pPr>
            <w:r>
              <w:rPr>
                <w:sz w:val="24"/>
              </w:rPr>
              <w:t xml:space="preserve"> </w:t>
            </w:r>
          </w:p>
        </w:tc>
      </w:tr>
      <w:tr w:rsidR="001C34A9" w:rsidTr="00CC5C0F">
        <w:trPr>
          <w:trHeight w:val="322"/>
        </w:trPr>
        <w:tc>
          <w:tcPr>
            <w:tcW w:w="1080" w:type="dxa"/>
          </w:tcPr>
          <w:p w:rsidR="001C34A9" w:rsidRDefault="00E242DB">
            <w:pPr>
              <w:ind w:left="0"/>
            </w:pPr>
            <w:r>
              <w:rPr>
                <w:sz w:val="24"/>
              </w:rPr>
              <w:t xml:space="preserve">Z-6 </w:t>
            </w:r>
          </w:p>
        </w:tc>
        <w:tc>
          <w:tcPr>
            <w:tcW w:w="4705" w:type="dxa"/>
          </w:tcPr>
          <w:p w:rsidR="001C34A9" w:rsidRDefault="00E242DB">
            <w:pPr>
              <w:ind w:left="0"/>
            </w:pPr>
            <w:r>
              <w:rPr>
                <w:sz w:val="24"/>
              </w:rPr>
              <w:t xml:space="preserve">信息披露安排 </w:t>
            </w:r>
          </w:p>
        </w:tc>
        <w:tc>
          <w:tcPr>
            <w:tcW w:w="1056" w:type="dxa"/>
          </w:tcPr>
          <w:p w:rsidR="001C34A9" w:rsidRDefault="00E242DB">
            <w:pPr>
              <w:ind w:left="0"/>
              <w:jc w:val="both"/>
            </w:pPr>
            <w:r>
              <w:rPr>
                <w:sz w:val="24"/>
              </w:rPr>
              <w:t xml:space="preserve">199-202 </w:t>
            </w:r>
          </w:p>
        </w:tc>
        <w:tc>
          <w:tcPr>
            <w:tcW w:w="1592" w:type="dxa"/>
          </w:tcPr>
          <w:p w:rsidR="001C34A9" w:rsidRDefault="00E242DB">
            <w:pPr>
              <w:ind w:left="0"/>
            </w:pPr>
            <w:r>
              <w:rPr>
                <w:sz w:val="24"/>
              </w:rPr>
              <w:t xml:space="preserve"> </w:t>
            </w:r>
          </w:p>
        </w:tc>
      </w:tr>
      <w:tr w:rsidR="001C34A9" w:rsidTr="00CC5C0F">
        <w:trPr>
          <w:trHeight w:val="36"/>
        </w:trPr>
        <w:tc>
          <w:tcPr>
            <w:tcW w:w="1080" w:type="dxa"/>
            <w:vAlign w:val="center"/>
          </w:tcPr>
          <w:p w:rsidR="001C34A9" w:rsidRDefault="00E242DB">
            <w:pPr>
              <w:ind w:left="0"/>
            </w:pPr>
            <w:r>
              <w:rPr>
                <w:sz w:val="24"/>
              </w:rPr>
              <w:t xml:space="preserve">Z-6-1 </w:t>
            </w:r>
          </w:p>
        </w:tc>
        <w:tc>
          <w:tcPr>
            <w:tcW w:w="4705" w:type="dxa"/>
          </w:tcPr>
          <w:p w:rsidR="001C34A9" w:rsidRDefault="00E242DB">
            <w:pPr>
              <w:ind w:left="0"/>
            </w:pPr>
            <w:r>
              <w:rPr>
                <w:sz w:val="24"/>
              </w:rPr>
              <w:t xml:space="preserve">发行及存续期的信息披露要求、披露方式、途径及内容，明确特殊事件发生后的信息披露机制，以及其他影响产品风险及投资者判断的信息披露安排。 </w:t>
            </w:r>
          </w:p>
        </w:tc>
        <w:tc>
          <w:tcPr>
            <w:tcW w:w="1056" w:type="dxa"/>
            <w:vAlign w:val="center"/>
          </w:tcPr>
          <w:p w:rsidR="001C34A9" w:rsidRDefault="00E242DB">
            <w:pPr>
              <w:ind w:left="0"/>
              <w:jc w:val="both"/>
            </w:pPr>
            <w:r>
              <w:rPr>
                <w:sz w:val="24"/>
              </w:rPr>
              <w:t xml:space="preserve">199-202 </w:t>
            </w:r>
          </w:p>
        </w:tc>
        <w:tc>
          <w:tcPr>
            <w:tcW w:w="1592" w:type="dxa"/>
          </w:tcPr>
          <w:p w:rsidR="001C34A9" w:rsidRDefault="00E242DB">
            <w:pPr>
              <w:ind w:left="0"/>
            </w:pPr>
            <w:r>
              <w:rPr>
                <w:sz w:val="24"/>
              </w:rPr>
              <w:t xml:space="preserve"> </w:t>
            </w:r>
          </w:p>
        </w:tc>
      </w:tr>
    </w:tbl>
    <w:p w:rsidR="001C34A9" w:rsidRDefault="00E242DB">
      <w:pPr>
        <w:ind w:left="0"/>
        <w:jc w:val="both"/>
      </w:pPr>
      <w:r>
        <w:rPr>
          <w:sz w:val="24"/>
        </w:rPr>
        <w:t xml:space="preserve"> </w:t>
      </w:r>
    </w:p>
    <w:p w:rsidR="001C34A9" w:rsidRDefault="00E242DB">
      <w:pPr>
        <w:ind w:left="0"/>
      </w:pPr>
      <w:r>
        <w:rPr>
          <w:rFonts w:ascii="Calibri" w:eastAsia="Calibri" w:hAnsi="Calibri" w:cs="Calibri"/>
          <w:sz w:val="21"/>
        </w:rPr>
        <w:t xml:space="preserve"> </w:t>
      </w:r>
    </w:p>
    <w:sectPr w:rsidR="001C34A9">
      <w:pgSz w:w="11906" w:h="16838"/>
      <w:pgMar w:top="1440" w:right="4674" w:bottom="1505"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KaiT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4A9"/>
    <w:rsid w:val="00195CEB"/>
    <w:rsid w:val="001C34A9"/>
    <w:rsid w:val="00775CC8"/>
    <w:rsid w:val="007D268A"/>
    <w:rsid w:val="00950C15"/>
    <w:rsid w:val="00CC5C0F"/>
    <w:rsid w:val="00E24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52080-E8D0-4892-9F07-E3D9D746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2873"/>
    </w:pPr>
    <w:rPr>
      <w:rFonts w:ascii="KaiTi" w:eastAsia="KaiTi" w:hAnsi="KaiTi" w:cs="KaiT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LiHx</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11</cp:revision>
  <dcterms:created xsi:type="dcterms:W3CDTF">2016-06-18T07:56:00Z</dcterms:created>
  <dcterms:modified xsi:type="dcterms:W3CDTF">2016-07-18T06:54:00Z</dcterms:modified>
</cp:coreProperties>
</file>