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b/>
          <w:color w:val="2F8F73"/>
          <w:sz w:val="24"/>
        </w:rPr>
        <w:t>HAWALA</w:t>
      </w:r>
    </w:p>
    <w:p>
      <w:pPr>
        <w:spacing w:after="160"/>
      </w:pPr>
      <w:r>
        <w:rPr>
          <w:b/>
          <w:color w:val="173A35"/>
          <w:sz w:val="64"/>
        </w:rPr>
        <w:t>Compliance OS</w:t>
      </w:r>
    </w:p>
    <w:p>
      <w:pPr>
        <w:spacing w:after="520"/>
      </w:pPr>
      <w:r>
        <w:rPr>
          <w:color w:val="65736F"/>
          <w:sz w:val="32"/>
        </w:rPr>
        <w:t>A controlled operating layer for broker-led remittance networks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F8F73"/>
              </w:rPr>
              <w:t xml:space="preserve">CURRENT STATUS  </w:t>
            </w:r>
            <w:r>
              <w:t>Private, synthetic-data product demonstration. The platform shows durable workflows and control design; sanctions, regulator, payment, and ledger connections are not live.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2"/>
      </w:pPr>
      <w:r>
        <w:t>Buyer pack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312"/>
        <w:gridCol w:w="3096"/>
      </w:tblGrid>
      <w:tr>
        <w:tc>
          <w:tcPr>
            <w:tcW w:type="dxa" w:w="2952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3096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rPr>
          <w:tblHeader/>
        </w:trPr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 and pilot evaluation</w:t>
            </w:r>
          </w:p>
        </w:tc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Regulated remittance providers, banks, central banks, development partners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Select a bounded discovery and pilot pathway</w:t>
            </w:r>
          </w:p>
        </w:tc>
      </w:tr>
    </w:tbl>
    <w:p>
      <w:pPr>
        <w:spacing w:after="20"/>
      </w:pPr>
    </w:p>
    <w:p>
      <w:r>
        <w:t>Prepared for confidential commercial discussions. This document is not legal advice, a regulatory approval, an offer of financial services, or evidence of production certification.</w:t>
      </w:r>
    </w:p>
    <w:p>
      <w:r>
        <w:br w:type="page"/>
      </w:r>
    </w:p>
    <w:p>
      <w:pPr>
        <w:pStyle w:val="Heading1"/>
      </w:pPr>
      <w:r>
        <w:t>1. Executive product brief</w:t>
      </w:r>
    </w:p>
    <w:p>
      <w:r>
        <w:t>HAWALA Compliance OS is a compliance and operations platform designed to help licensed or sponsor-supervised remittance brokers record transfers, screen risk, investigate alerts, reconcile obligations, and prepare regulatory evidence without discarding the speed and relationship model that makes broker networks useful.</w:t>
      </w:r>
    </w:p>
    <w:p>
      <w:pPr>
        <w:pStyle w:val="Heading2"/>
      </w:pPr>
      <w:r>
        <w:t>The buyer problem</w:t>
      </w:r>
    </w:p>
    <w:p>
      <w:pPr>
        <w:pStyle w:val="ListBullet"/>
        <w:spacing w:after="80"/>
        <w:ind w:left="360" w:hanging="259"/>
      </w:pPr>
      <w:r>
        <w:t>Broker-led transfers are often recorded across paper, messaging apps, and disconnected spreadsheets.</w:t>
      </w:r>
    </w:p>
    <w:p>
      <w:pPr>
        <w:pStyle w:val="ListBullet"/>
        <w:spacing w:after="80"/>
        <w:ind w:left="360" w:hanging="259"/>
      </w:pPr>
      <w:r>
        <w:t>Compliance evidence is assembled after the fact, making review slow and regulator engagement difficult.</w:t>
      </w:r>
    </w:p>
    <w:p>
      <w:pPr>
        <w:pStyle w:val="ListBullet"/>
        <w:spacing w:after="80"/>
        <w:ind w:left="360" w:hanging="259"/>
      </w:pPr>
      <w:r>
        <w:t>Settlement positions, prefunding, disputes, and case decisions lack a consistent accountable record.</w:t>
      </w:r>
    </w:p>
    <w:p>
      <w:pPr>
        <w:pStyle w:val="ListBullet"/>
        <w:spacing w:after="80"/>
        <w:ind w:left="360" w:hanging="259"/>
      </w:pPr>
      <w:r>
        <w:t>Existing banking systems can be too costly or operationally heavy for small remittance agents.</w:t>
      </w:r>
    </w:p>
    <w:p>
      <w:pPr>
        <w:pStyle w:val="Heading2"/>
      </w:pPr>
      <w:r>
        <w:t>What the product demonstrates today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84"/>
        <w:gridCol w:w="3600"/>
      </w:tblGrid>
      <w:tr>
        <w:tc>
          <w:tcPr>
            <w:tcW w:type="dxa" w:w="2376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384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Demonstrated state</w:t>
            </w:r>
          </w:p>
        </w:tc>
        <w:tc>
          <w:tcPr>
            <w:tcW w:type="dxa" w:w="3600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Production dependency</w:t>
            </w:r>
          </w:p>
        </w:tc>
        <w:trPr>
          <w:tblHeader/>
        </w:trPr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Transfer and customer records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Durable workflow with structured records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Customer data model, migration, and retention approval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AML case management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Rule provenance, evidence context, rationale, human override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Validated rules/models and licensed screening data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Broker onboarding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License minimization, ownership review, compliance contact, corridors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Jurisdiction-specific KYB and document verification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Regulatory filing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Draft, human approval, simulated receipt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Authority-approved schema, credentials, and secure connector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Prefunding, netting, reconciliation, dispute record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Safeguarded account/payment-rail integration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Product architecture and data flow</w:t>
      </w:r>
    </w:p>
    <w:p>
      <w:r>
        <w:t>The recommended architecture is integration-first and ledger-optional. A conventional auditable database remains the system of record unless a buyer has a proven multi-party governance requirement for a distributed ledger.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3528"/>
      </w:tblGrid>
      <w:tr>
        <w:tc>
          <w:tcPr>
            <w:tcW w:type="dxa" w:w="1800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032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528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Boundary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User experience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Mobile-first broker operations and compliance/regulator dashboards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Role-appropriate views; no unnecessary identity exposure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API and workflow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Transfer, customer, broker, case, filing, settlement, and audit services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Server-side authorization and validation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Risk orchestration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Rules, list screening, explainability, provenance, analyst decision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Decision support only; accountable human approval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System of record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Structured records, configuration, filing drafts, audit events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Retention, residency, backup, encryption defined per buyer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External adapters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Screening provider, identity/KYB, payment rail, regulator interface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Contracted and tested separately; none live in this demo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Optional proof layer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Shared event proof for governed multi-party use cases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Not required for settlement and not a substitute for funds movement</w:t>
            </w:r>
          </w:p>
        </w:tc>
      </w:tr>
    </w:tbl>
    <w:p>
      <w:pPr>
        <w:spacing w:after="20"/>
      </w:pPr>
    </w:p>
    <w:p>
      <w:pPr>
        <w:pStyle w:val="Heading2"/>
      </w:pPr>
      <w:r>
        <w:t>Illustrative transaction flow</w:t>
      </w:r>
    </w:p>
    <w:p>
      <w:pPr>
        <w:pStyle w:val="ListNumber"/>
      </w:pPr>
      <w:r>
        <w:t>Broker records sender, recipient, corridor, purpose, and transfer value.</w:t>
      </w:r>
    </w:p>
    <w:p>
      <w:pPr>
        <w:pStyle w:val="ListNumber"/>
      </w:pPr>
      <w:r>
        <w:t>Policy engine evaluates configured rules and licensed external data when connected.</w:t>
      </w:r>
    </w:p>
    <w:p>
      <w:pPr>
        <w:pStyle w:val="ListNumber"/>
      </w:pPr>
      <w:r>
        <w:t>Low-risk transfers proceed; alerts enter a human-owned compliance case.</w:t>
      </w:r>
    </w:p>
    <w:p>
      <w:pPr>
        <w:pStyle w:val="ListNumber"/>
      </w:pPr>
      <w:r>
        <w:t>Analyst reviews evidence, records rationale, and can apply a reasoned override.</w:t>
      </w:r>
    </w:p>
    <w:p>
      <w:pPr>
        <w:pStyle w:val="ListNumber"/>
      </w:pPr>
      <w:r>
        <w:t>Approved transfer updates broker obligations and the next reconciliation cycle.</w:t>
      </w:r>
    </w:p>
    <w:p>
      <w:pPr>
        <w:pStyle w:val="ListNumber"/>
      </w:pPr>
      <w:r>
        <w:t>Authorized staff prepare a filing draft; transmission occurs only through an approved connector.</w:t>
      </w:r>
    </w:p>
    <w:p>
      <w:r>
        <w:br w:type="page"/>
      </w:r>
    </w:p>
    <w:p>
      <w:pPr>
        <w:pStyle w:val="Heading1"/>
      </w:pPr>
      <w:r>
        <w:t>3. Proposed pilot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F8F73"/>
              </w:rPr>
              <w:t xml:space="preserve">RECOMMENDATION  </w:t>
            </w:r>
            <w:r>
              <w:t>Begin with one sponsor, 5–10 brokers, one corridor, and synthetic or masked data. Do not begin with live regulator submission or autonomous risk decisions.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224"/>
        <w:gridCol w:w="4320"/>
        <w:gridCol w:w="2232"/>
      </w:tblGrid>
      <w:tr>
        <w:tc>
          <w:tcPr>
            <w:tcW w:type="dxa" w:w="1584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224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4320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Outputs</w:t>
            </w:r>
          </w:p>
        </w:tc>
        <w:tc>
          <w:tcPr>
            <w:tcW w:type="dxa" w:w="2232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Exit gate</w:t>
            </w:r>
          </w:p>
        </w:tc>
        <w:trPr>
          <w:tblHeader/>
        </w:trPr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0. Discovery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 weeks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Legal perimeter, corridor, roles, data map, success baseline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Sponsor approves scope and assumptions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1. Configure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3–4 weeks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Sandbox, workflows, policy pack, synthetic migration, training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Security and UAT readiness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2. Shadow pilot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4–6 weeks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Parallel records, screening comparison, case and reconciliation evidence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 funds movement; accuracy accepted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3. Controlled live pilot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6–8 weeks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Limited broker cohort and value caps; supervised operations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Regulatory/sponsor approvals obtained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4. Scale decision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 weeks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Results, gaps, production plan, commercial proposal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Joint go/no-go</w:t>
            </w:r>
          </w:p>
        </w:tc>
      </w:tr>
    </w:tbl>
    <w:p>
      <w:pPr>
        <w:spacing w:after="20"/>
      </w:pPr>
    </w:p>
    <w:p>
      <w:pPr>
        <w:pStyle w:val="Heading2"/>
      </w:pPr>
      <w:r>
        <w:t>Pilot success measures</w:t>
      </w:r>
    </w:p>
    <w:p>
      <w:pPr>
        <w:pStyle w:val="ListBullet"/>
        <w:spacing w:after="80"/>
        <w:ind w:left="360" w:hanging="259"/>
      </w:pPr>
      <w:r>
        <w:t>At least 95% of required transfer records captured with complete mandatory fields.</w:t>
      </w:r>
    </w:p>
    <w:p>
      <w:pPr>
        <w:pStyle w:val="ListBullet"/>
        <w:spacing w:after="80"/>
        <w:ind w:left="360" w:hanging="259"/>
      </w:pPr>
      <w:r>
        <w:t>100% of case decisions attributed with rationale and evidence provenance.</w:t>
      </w:r>
    </w:p>
    <w:p>
      <w:pPr>
        <w:pStyle w:val="ListBullet"/>
        <w:spacing w:after="80"/>
        <w:ind w:left="360" w:hanging="259"/>
      </w:pPr>
      <w:r>
        <w:t>Reconciliation exceptions identified and assigned within one business day.</w:t>
      </w:r>
    </w:p>
    <w:p>
      <w:pPr>
        <w:pStyle w:val="ListBullet"/>
        <w:spacing w:after="80"/>
        <w:ind w:left="360" w:hanging="259"/>
      </w:pPr>
      <w:r>
        <w:t>Measured screening precision/recall compared with the sponsor-approved baseline.</w:t>
      </w:r>
    </w:p>
    <w:p>
      <w:pPr>
        <w:pStyle w:val="ListBullet"/>
        <w:spacing w:after="80"/>
        <w:ind w:left="360" w:hanging="259"/>
      </w:pPr>
      <w:r>
        <w:t>No external filing, funds movement, or data sharing outside the approved pilot boundary.</w:t>
      </w:r>
    </w:p>
    <w:p>
      <w:r>
        <w:br w:type="page"/>
      </w:r>
    </w:p>
    <w:p>
      <w:pPr>
        <w:pStyle w:val="Heading1"/>
      </w:pPr>
      <w:r>
        <w:t>4. Commercial model and indicative pricing</w:t>
      </w:r>
    </w:p>
    <w:p>
      <w:r>
        <w:t>Pricing is an indicative commercial framework for buyer discussion, excluding taxes, third-party data, payment rails, identity checks, hosting-specific compliance, legal advice, and regulator certification.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088"/>
        <w:gridCol w:w="4824"/>
      </w:tblGrid>
      <w:tr>
        <w:tc>
          <w:tcPr>
            <w:tcW w:type="dxa" w:w="2448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088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Indicative price</w:t>
            </w:r>
          </w:p>
        </w:tc>
        <w:tc>
          <w:tcPr>
            <w:tcW w:type="dxa" w:w="4824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Includes</w:t>
            </w:r>
          </w:p>
        </w:tc>
        <w:trPr>
          <w:tblHeader/>
        </w:trPr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Discovery and pilot design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USD 15,000–25,000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Scope, controls, architecture, success plan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Configured sandbox pilot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USD 40,000–75,000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Configuration, onboarding, training, support, evaluation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Production implementation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USD 120,000–250,000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Integration, migration, security hardening, UAT, launch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Platform subscription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USD 4,000–12,000/month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Core platform, support tier, agreed usage band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Transaction usage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USD 0.10–0.60/transfer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Volume-based platform usage; third-party fees separate</w:t>
            </w:r>
          </w:p>
        </w:tc>
      </w:tr>
    </w:tbl>
    <w:p>
      <w:pPr>
        <w:spacing w:after="20"/>
      </w:pPr>
    </w:p>
    <w:p>
      <w:pPr>
        <w:pStyle w:val="Heading2"/>
      </w:pPr>
      <w:r>
        <w:t>Commercial protections</w:t>
      </w:r>
    </w:p>
    <w:p>
      <w:pPr>
        <w:pStyle w:val="ListBullet"/>
        <w:spacing w:after="80"/>
        <w:ind w:left="360" w:hanging="259"/>
      </w:pPr>
      <w:r>
        <w:t>Milestone billing tied to accepted deliverables and explicit exit gates.</w:t>
      </w:r>
    </w:p>
    <w:p>
      <w:pPr>
        <w:pStyle w:val="ListBullet"/>
        <w:spacing w:after="80"/>
        <w:ind w:left="360" w:hanging="259"/>
      </w:pPr>
      <w:r>
        <w:t>Change control for jurisdiction, corridor, integration, or data-scope expansion.</w:t>
      </w:r>
    </w:p>
    <w:p>
      <w:pPr>
        <w:pStyle w:val="ListBullet"/>
        <w:spacing w:after="80"/>
        <w:ind w:left="360" w:hanging="259"/>
      </w:pPr>
      <w:r>
        <w:t>No claim that platform pricing alone guarantees an end-customer fee below 2%.</w:t>
      </w:r>
    </w:p>
    <w:p>
      <w:pPr>
        <w:pStyle w:val="ListBullet"/>
        <w:spacing w:after="80"/>
        <w:ind w:left="360" w:hanging="259"/>
      </w:pPr>
      <w:r>
        <w:t>Buyer retains accountability for licensing, policy approval, filing, and funds safeguarding.</w:t>
      </w:r>
    </w:p>
    <w:p>
      <w:r>
        <w:br w:type="page"/>
      </w:r>
    </w:p>
    <w:p>
      <w:pPr>
        <w:pStyle w:val="Heading1"/>
      </w:pPr>
      <w:r>
        <w:t>5. Security, privacy, and control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456"/>
        <w:gridCol w:w="3960"/>
      </w:tblGrid>
      <w:tr>
        <w:tc>
          <w:tcPr>
            <w:tcW w:type="dxa" w:w="1944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 domain</w:t>
            </w:r>
          </w:p>
        </w:tc>
        <w:tc>
          <w:tcPr>
            <w:tcW w:type="dxa" w:w="3456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Demonstrated</w:t>
            </w:r>
          </w:p>
        </w:tc>
        <w:tc>
          <w:tcPr>
            <w:tcW w:type="dxa" w:w="3960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Required before production</w:t>
            </w:r>
          </w:p>
        </w:tc>
        <w:trPr>
          <w:tblHeader/>
        </w:trPr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Identity and access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Workspace identity; server-side Administrator, Compliance Officer, Operator, Auditor roles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Buyer IAM/SSO, provisioning, MFA policy, periodic access review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Auditability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Durable attributed workflow events and decision rationale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Immutability design, export, monitoring, retention validation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 minimization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License number limited to last four characters in broker workflow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Field-level inventory, lawful basis, deletion and subject-rights process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Encryption and secrets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Hosting-provider managed baseline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Key ownership, rotation, secrets vault, TLS and at-rest evidence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Resilience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Not certified in demo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Backups, restoration tests, RTO/RPO, incident response and BCP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Model governance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Rule/model versions and evidence provenance shown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Validation, drift monitoring, bias testing, change approval and rollback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F8F73"/>
              </w:rPr>
              <w:t xml:space="preserve">SECURITY CAVEAT  </w:t>
            </w:r>
            <w:r>
              <w:t>The demo is privately accessible, but it is not a production security certification. Data residency, penetration testing, encryption evidence, subprocessor review, and contractual controls remain buyer-specific work.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Regulatory and operating assumptions</w:t>
      </w:r>
    </w:p>
    <w:p>
      <w:pPr>
        <w:pStyle w:val="ListBullet"/>
        <w:spacing w:after="80"/>
        <w:ind w:left="360" w:hanging="259"/>
      </w:pPr>
      <w:r>
        <w:t>The buyer or sponsoring institution holds all required permissions and determines whether participating brokers may operate.</w:t>
      </w:r>
    </w:p>
    <w:p>
      <w:pPr>
        <w:pStyle w:val="ListBullet"/>
        <w:spacing w:after="80"/>
        <w:ind w:left="360" w:hanging="259"/>
      </w:pPr>
      <w:r>
        <w:t>Country-by-country legal analysis is required; terminology such as broker, agent, hawaladar, payment service provider, and money service business is not interchangeable.</w:t>
      </w:r>
    </w:p>
    <w:p>
      <w:pPr>
        <w:pStyle w:val="ListBullet"/>
        <w:spacing w:after="80"/>
        <w:ind w:left="360" w:hanging="259"/>
      </w:pPr>
      <w:r>
        <w:t>AML screening supports—not replaces—risk-based judgment. A human remains accountable for escalation, override, and filing approval.</w:t>
      </w:r>
    </w:p>
    <w:p>
      <w:pPr>
        <w:pStyle w:val="ListBullet"/>
        <w:spacing w:after="80"/>
        <w:ind w:left="360" w:hanging="259"/>
      </w:pPr>
      <w:r>
        <w:t>Suspicious transaction reports are prepared and submitted only under the buyer's approved process and authority interface.</w:t>
      </w:r>
    </w:p>
    <w:p>
      <w:pPr>
        <w:pStyle w:val="ListBullet"/>
        <w:spacing w:after="80"/>
        <w:ind w:left="360" w:hanging="259"/>
      </w:pPr>
      <w:r>
        <w:t>Tax visibility does not mean automatic taxation. Collection, use, disclosure, and retention require a lawful and documented basis.</w:t>
      </w:r>
    </w:p>
    <w:p>
      <w:pPr>
        <w:pStyle w:val="ListBullet"/>
        <w:spacing w:after="80"/>
        <w:ind w:left="360" w:hanging="259"/>
      </w:pPr>
      <w:r>
        <w:t>Settlement requires safeguarded funds, prefunding or approved credit arrangements, reconciliation, dispute handling, and licensed payment rails.</w:t>
      </w:r>
    </w:p>
    <w:p>
      <w:pPr>
        <w:pStyle w:val="ListBullet"/>
        <w:spacing w:after="80"/>
        <w:ind w:left="360" w:hanging="259"/>
      </w:pPr>
      <w:r>
        <w:t>Sanctions and PEP data must come from licensed, current, contractually permitted sources with documented update timing.</w:t>
      </w:r>
    </w:p>
    <w:p>
      <w:pPr>
        <w:pStyle w:val="ListBullet"/>
        <w:spacing w:after="80"/>
        <w:ind w:left="360" w:hanging="259"/>
      </w:pPr>
      <w:r>
        <w:t>Distributed ledger technology is optional and requires a governance case; it neither moves fiat funds nor creates regulatory permission.</w:t>
      </w:r>
    </w:p>
    <w:p>
      <w:pPr>
        <w:pStyle w:val="Heading2"/>
      </w:pPr>
      <w:r>
        <w:t>Synthetic-data disclaimer</w:t>
      </w:r>
    </w:p>
    <w:p>
      <w:r>
        <w:t>All persons, transactions, brokers, alerts, corridors, receipts, sanctions/PEP matches, regulator connections, balances, and performance values shown in the demonstration are synthetic or illustrative unless a signed pilot data schedule states otherwise. Demo outcomes must not be used for real customer decisions, reporting, funds movement, or compliance conclusions.</w:t>
      </w:r>
    </w:p>
    <w:p>
      <w:r>
        <w:br w:type="page"/>
      </w:r>
    </w:p>
    <w:p>
      <w:pPr>
        <w:pStyle w:val="Heading1"/>
      </w:pPr>
      <w:r>
        <w:t>7. Buyer decision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2520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Decision area</w:t>
            </w:r>
          </w:p>
        </w:tc>
        <w:tc>
          <w:tcPr>
            <w:tcW w:type="dxa" w:w="6840"/>
            <w:shd w:fill="17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Buyer input needed</w:t>
            </w:r>
          </w:p>
        </w:tc>
        <w:trPr>
          <w:tblHeader/>
        </w:trPr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Sponsor and legal perimeter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Licensed entity, target jurisdiction, pilot authority, accountable executive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Pilot corridor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Origin/destination, currency, projected volume, broker cohort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Permitted fields, masking, residency, retention, migration source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Risk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Policy owner, rules, screening providers, validation baseline, approval thresholds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Prefunding model, value caps, reconciliation timing, disputes, safeguarding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Technology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IAM, integrations, hosting controls, monitoring, environments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Regulatory reporting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Schema, approval chain, secure channel, test environment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68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8"/>
          </w:tcPr>
          <w:p>
            <w:pPr>
              <w:spacing w:after="0"/>
            </w:pPr>
            <w:r>
              <w:rPr>
                <w:sz w:val="18"/>
              </w:rPr>
              <w:t>Pilot budget, procurement, contracting, third-party costs, scale criteria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F8F73"/>
              </w:rPr>
              <w:t xml:space="preserve">NEXT STEP  </w:t>
            </w:r>
            <w:r>
              <w:t>A 90-minute buyer workshop should confirm the legal perimeter, one corridor, one sponsor, pilot data boundaries, and measurable exit gates. A tailored statement of work can then be produced without overstating readiness.</w:t>
            </w:r>
          </w:p>
        </w:tc>
        <w:trPr>
          <w:tblHeader/>
        </w:trPr>
      </w:tr>
    </w:tbl>
    <w:p>
      <w:pPr>
        <w:spacing w:after="20"/>
      </w:pPr>
    </w:p>
    <w:p>
      <w:r>
        <w:t>Document control: Buyer Pack v1.0 • Prepared July 2026 • Confidential evaluation material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Private evaluation material •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5736F"/>
        <w:sz w:val="16"/>
      </w:rPr>
      <w:t>HAWALA COMPLIANCE OS  |  CONFIDENTIAL BUYER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721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A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8F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HAWALA Compliance OS — Confidential Buyer Pack</dc:title>
  <dc:subject>Commercial product, pilot, pricing, architecture, security, and regulatory assumptions</dc:subject>
  <dc:creator>HAWALA Compliance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