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6B9A" w14:textId="77777777" w:rsidR="00C93607" w:rsidRDefault="00000000">
      <w:pPr>
        <w:spacing w:after="80"/>
        <w:jc w:val="center"/>
      </w:pPr>
      <w:r>
        <w:rPr>
          <w:rFonts w:ascii="Arial" w:eastAsia="Arial" w:hAnsi="Arial" w:cs="Arial"/>
          <w:b/>
          <w:bCs/>
          <w:color w:val="1B3A6B"/>
          <w:sz w:val="40"/>
          <w:szCs w:val="40"/>
        </w:rPr>
        <w:t>Advanced Flood Frequency Analysis of the Krishna River at Karad, India:</w:t>
      </w:r>
    </w:p>
    <w:p w14:paraId="48DAC285" w14:textId="77777777" w:rsidR="00C93607" w:rsidRDefault="00000000">
      <w:pPr>
        <w:spacing w:after="200"/>
        <w:jc w:val="center"/>
      </w:pPr>
      <w:r>
        <w:rPr>
          <w:rFonts w:ascii="Arial" w:eastAsia="Arial" w:hAnsi="Arial" w:cs="Arial"/>
          <w:b/>
          <w:bCs/>
          <w:color w:val="1B3A6B"/>
          <w:sz w:val="36"/>
          <w:szCs w:val="36"/>
        </w:rPr>
        <w:t>A Multi-Distribution Approach Combining Extreme Value Theory,</w:t>
      </w:r>
    </w:p>
    <w:p w14:paraId="0B653E6A" w14:textId="77777777" w:rsidR="00C93607" w:rsidRDefault="00000000">
      <w:pPr>
        <w:spacing w:after="300"/>
        <w:jc w:val="center"/>
      </w:pPr>
      <w:r>
        <w:rPr>
          <w:rFonts w:ascii="Arial" w:eastAsia="Arial" w:hAnsi="Arial" w:cs="Arial"/>
          <w:b/>
          <w:bCs/>
          <w:color w:val="1B3A6B"/>
          <w:sz w:val="36"/>
          <w:szCs w:val="36"/>
        </w:rPr>
        <w:t>Peaks-Over-Threshold Analysis, Bayesian Inference and Machine Learning</w:t>
      </w:r>
    </w:p>
    <w:p w14:paraId="461810AB" w14:textId="77777777" w:rsidR="00C93607" w:rsidRDefault="00000000">
      <w:pPr>
        <w:pBdr>
          <w:top w:val="single" w:sz="4" w:space="4" w:color="1B3A6B"/>
          <w:bottom w:val="single" w:sz="4" w:space="4" w:color="1B3A6B"/>
        </w:pBdr>
        <w:spacing w:before="80" w:after="80"/>
        <w:jc w:val="center"/>
      </w:pPr>
      <w:r>
        <w:rPr>
          <w:rFonts w:ascii="Arial" w:eastAsia="Arial" w:hAnsi="Arial" w:cs="Arial"/>
          <w:i/>
          <w:iCs/>
          <w:color w:val="444444"/>
          <w:sz w:val="22"/>
          <w:szCs w:val="22"/>
        </w:rPr>
        <w:t>Submitted for Peer Review</w:t>
      </w:r>
    </w:p>
    <w:p w14:paraId="244457C0" w14:textId="77777777" w:rsidR="00C93607" w:rsidRDefault="00000000">
      <w:pPr>
        <w:spacing w:before="60" w:after="20"/>
        <w:jc w:val="center"/>
      </w:pPr>
      <w:r>
        <w:rPr>
          <w:rFonts w:ascii="Arial" w:eastAsia="Arial" w:hAnsi="Arial" w:cs="Arial"/>
          <w:color w:val="333333"/>
          <w:sz w:val="22"/>
          <w:szCs w:val="22"/>
        </w:rPr>
        <w:t>Journal of Hydrology  |  Hydrological Sciences Journal</w:t>
      </w:r>
    </w:p>
    <w:p w14:paraId="6CE71C3E" w14:textId="77777777" w:rsidR="00C93607" w:rsidRDefault="00000000">
      <w:pPr>
        <w:spacing w:before="20" w:after="200"/>
        <w:jc w:val="center"/>
      </w:pPr>
      <w:r>
        <w:rPr>
          <w:rFonts w:ascii="Arial" w:eastAsia="Arial" w:hAnsi="Arial" w:cs="Arial"/>
          <w:i/>
          <w:iCs/>
          <w:color w:val="555555"/>
          <w:sz w:val="20"/>
          <w:szCs w:val="20"/>
        </w:rPr>
        <w:t>Manuscript Category: Research Article</w:t>
      </w:r>
    </w:p>
    <w:p w14:paraId="793358E7" w14:textId="77777777" w:rsidR="00C93607" w:rsidRDefault="00000000">
      <w:pPr>
        <w:spacing w:before="40" w:after="20"/>
        <w:jc w:val="center"/>
      </w:pPr>
      <w:r>
        <w:rPr>
          <w:i/>
          <w:iCs/>
          <w:color w:val="444444"/>
          <w:sz w:val="22"/>
          <w:szCs w:val="22"/>
        </w:rPr>
        <w:t>Keywords: Flood frequency analysis · Log-Pearson III · Gumbel distribution · Peaks-Over-Threshold ·</w:t>
      </w:r>
    </w:p>
    <w:p w14:paraId="41E682CA" w14:textId="77777777" w:rsidR="00C93607" w:rsidRDefault="00000000">
      <w:pPr>
        <w:spacing w:after="40"/>
        <w:jc w:val="center"/>
      </w:pPr>
      <w:r>
        <w:rPr>
          <w:i/>
          <w:iCs/>
          <w:color w:val="444444"/>
          <w:sz w:val="22"/>
          <w:szCs w:val="22"/>
        </w:rPr>
        <w:t>Bayesian MCMC · Machine learning · Upper Krishna Basin · CWC IS 11223:1985</w:t>
      </w:r>
    </w:p>
    <w:p w14:paraId="43345660" w14:textId="77777777" w:rsidR="00C93607" w:rsidRDefault="00000000">
      <w:r>
        <w:br w:type="page"/>
      </w:r>
    </w:p>
    <w:p w14:paraId="49E2764B" w14:textId="77777777" w:rsidR="00C93607" w:rsidRDefault="00000000">
      <w:pPr>
        <w:pStyle w:val="Heading1"/>
        <w:pBdr>
          <w:bottom w:val="single" w:sz="8" w:space="6" w:color="1B3A6B"/>
        </w:pBdr>
      </w:pPr>
      <w:r>
        <w:rPr>
          <w:color w:val="1B3A6B"/>
        </w:rPr>
        <w:lastRenderedPageBreak/>
        <w:t>Abstract</w:t>
      </w:r>
    </w:p>
    <w:p w14:paraId="0FE0F7C9" w14:textId="77777777" w:rsidR="00C93607" w:rsidRDefault="00000000">
      <w:pPr>
        <w:spacing w:before="60" w:after="60" w:line="360" w:lineRule="auto"/>
        <w:jc w:val="both"/>
      </w:pPr>
      <w:r>
        <w:rPr>
          <w:color w:val="000000"/>
        </w:rPr>
        <w:t>Every year, the Krishna River floods low-lying communities and agricultural land in the Deccan Plateau, making reliable flood estimation at key gauging stations a matter of both public safety and economic necessity. Yet most engineering design in this basin still relies on a single probability distribution — the Gumbel model — fitted by the Method of Moments, with no formal uncertainty quantification. This paper addresses that gap by presenting the most comprehensive flood frequency analysis (FFA) ever conducted at the Karad gauging station (AK000X6) on the Krishna River, Maharashtra, India.</w:t>
      </w:r>
    </w:p>
    <w:p w14:paraId="448E9A02" w14:textId="77777777" w:rsidR="00C93607" w:rsidRDefault="00000000">
      <w:pPr>
        <w:spacing w:before="60" w:after="60" w:line="360" w:lineRule="auto"/>
        <w:jc w:val="both"/>
      </w:pPr>
      <w:r>
        <w:rPr>
          <w:color w:val="000000"/>
        </w:rPr>
        <w:t>Using a 57-year record of annual instantaneous peak discharges (1965–2022, mean = 2,857 m³/s, CV = 0.534), we systematically evaluate twelve probability distributions — spanning the Gumbel, Log-Normal, Pearson Type III, Log-Pearson Type III, Weibull, Generalised Extreme Value, Generalised Pareto, Log-Logistic, Generalised Logistic, Burr, Kappa-4 and Exponential families — using Maximum Likelihood Estimation and an information-theoretic selection framework. Before any distribution fitting, we verify the fundamental assumptions of classical FFA through six normality tests, five stationarity and trend tests, and a battery of randomness and autocorrelation diagnostics.</w:t>
      </w:r>
    </w:p>
    <w:p w14:paraId="2DB71D36" w14:textId="77777777" w:rsidR="00C93607" w:rsidRDefault="00000000">
      <w:pPr>
        <w:spacing w:before="60" w:after="60" w:line="360" w:lineRule="auto"/>
        <w:jc w:val="both"/>
      </w:pPr>
      <w:r>
        <w:rPr>
          <w:color w:val="000000"/>
        </w:rPr>
        <w:t>The Shapiro-Wilk test (W = 0.904, p &lt; 0.001), Jarque-Bera test (JB = 11.06, p = 0.004) and Anderson-Darling test (A² = 1.661) all confirm that the raw discharge series is not normally distributed, while the log-space Kolmogorov-Smirnov test (p = 0.970) confirms log-normality. The Augmented Dickey-Fuller test (ADF = −5.047, p ≈ 0.000) and both KPSS tests confirm full stationarity. No statistically significant trend was found by any of the five trend tests (Mann-Kendall p = 0.299), validating the stationarity assumption for classical FFA. The Hurst exponent H = 0.556 indicates only mild persistence.</w:t>
      </w:r>
    </w:p>
    <w:p w14:paraId="64E87C54" w14:textId="77777777" w:rsidR="00C93607" w:rsidRDefault="00000000">
      <w:pPr>
        <w:spacing w:before="60" w:after="60" w:line="360" w:lineRule="auto"/>
        <w:jc w:val="both"/>
      </w:pPr>
      <w:r>
        <w:rPr>
          <w:color w:val="000000"/>
        </w:rPr>
        <w:t>Among the twelve distributions evaluated, the Log-Pearson Type III (LP3) achieved the best fit by a wide margin (</w:t>
      </w:r>
      <w:proofErr w:type="spellStart"/>
      <w:r>
        <w:rPr>
          <w:color w:val="000000"/>
        </w:rPr>
        <w:t>AICc</w:t>
      </w:r>
      <w:proofErr w:type="spellEnd"/>
      <w:r>
        <w:rPr>
          <w:color w:val="000000"/>
        </w:rPr>
        <w:t xml:space="preserve"> = 92.1, Akaike weight = 1.000), followed by Weibull EV3 and Pearson III. The CWC-mandated Gumbel distribution provides a 100-year design flood of Q₁₀₀ = 7,181 m³/s with a 95% bootstrap confidence interval of [5,923; 8,458] m³/s. A Peaks-Over-Threshold analysis using the Generalised Pareto Distribution yielded a shape parameter ξ = −0.789, suggesting a physically bounded upper limit of approximately 7,271 m³/s — remarkably close to the observed historical maximum of 7,177 m³/s (1976). Monte Carlo simulation (10,000 runs) and Bayesian MCMC estimation converged on consistent estimates of Q₁₀₀ near 7,141–7,478 m³/s, substantially narrowing the uncertainty around single-distribution point estimates. Five machine learning models identified normalised discharge rank, peak stage and recent discharge anomaly as the dominant predictors of annual flood magnitude.</w:t>
      </w:r>
    </w:p>
    <w:p w14:paraId="45F688F1" w14:textId="77777777" w:rsidR="00C93607" w:rsidRDefault="00000000">
      <w:pPr>
        <w:spacing w:before="60" w:after="60" w:line="360" w:lineRule="auto"/>
        <w:jc w:val="both"/>
      </w:pPr>
      <w:r>
        <w:rPr>
          <w:color w:val="000000"/>
        </w:rPr>
        <w:t>The results provide directly actionable design flood recommendations for hydraulic infrastructure in the Upper Krishna Basin and demonstrate that combining multiple analytical frameworks with formal uncertainty quantification produces substantially more reliable engineering guidance than the single-distribution approach currently used in Indian practice.</w:t>
      </w:r>
    </w:p>
    <w:p w14:paraId="1DF06B02" w14:textId="77777777" w:rsidR="00C93607" w:rsidRDefault="00000000">
      <w:r>
        <w:br w:type="page"/>
      </w:r>
    </w:p>
    <w:p w14:paraId="2B45DCF5" w14:textId="77777777" w:rsidR="00C93607" w:rsidRDefault="00000000">
      <w:pPr>
        <w:pStyle w:val="Heading1"/>
        <w:pBdr>
          <w:bottom w:val="single" w:sz="8" w:space="6" w:color="1B3A6B"/>
        </w:pBdr>
      </w:pPr>
      <w:r>
        <w:rPr>
          <w:color w:val="1B3A6B"/>
        </w:rPr>
        <w:t>1. Introduction</w:t>
      </w:r>
    </w:p>
    <w:p w14:paraId="323A6372" w14:textId="77777777" w:rsidR="00C93607" w:rsidRDefault="00000000">
      <w:pPr>
        <w:spacing w:before="60" w:after="60" w:line="360" w:lineRule="auto"/>
        <w:jc w:val="both"/>
      </w:pPr>
      <w:r>
        <w:rPr>
          <w:color w:val="000000"/>
        </w:rPr>
        <w:t>Flooding is one of the most destructive natural hazards on Earth, and the problem is especially acute in monsoon-driven river systems of South Asia. India experiences devastating annual floods that affect an average of 7.5 million hectares of land, displacing over 32 million people and causing losses estimated at ₹4,000–6,000 crore per year (NDMA, 2018). In the Upper Krishna Basin — a landscape of fertile river valleys, irrigation reservoirs and rapidly growing mid-sized cities in Maharashtra and Karnataka — the tension between harnessing water for agriculture and protecting communities from destructive floods defines the core challenge of water resources management. Getting flood estimates right is therefore not merely an academic exercise; it determines whether bridges stand or collapse, whether dam spillways are adequately sized, and whether flood-plain development regulations are realistic.</w:t>
      </w:r>
    </w:p>
    <w:p w14:paraId="0505C7FC" w14:textId="77777777" w:rsidR="00C93607" w:rsidRDefault="00000000">
      <w:pPr>
        <w:spacing w:before="60" w:after="60" w:line="360" w:lineRule="auto"/>
        <w:jc w:val="both"/>
      </w:pPr>
      <w:r>
        <w:rPr>
          <w:color w:val="000000"/>
        </w:rPr>
        <w:t>Flood frequency analysis (FFA) is the standard engineering tool for answering the question: how large is the flood that has a 1% chance of being exceeded in any given year? The answer — the 100-year flood, or Q₁₀₀ — drives the design of everything from culverts to large dams. In India, the Central Water Commission (CWC) mandates the Gumbel Extreme Value Type I distribution fitted by the Method of Moments as the primary analytical approach (CWC, 1966, 2019; IS 11223:1985). This methodology, developed in the 1950s and 1960s, has two well-documented limitations that are particularly relevant here. First, it relies on a single probability distribution rather than letting the data guide the choice of distribution. Second, it does not quantify the uncertainty in design flood estimates, leaving engineers without any indication of how far from the true value the estimate might be.</w:t>
      </w:r>
    </w:p>
    <w:p w14:paraId="49D5D188" w14:textId="77777777" w:rsidR="00C93607" w:rsidRDefault="00000000">
      <w:pPr>
        <w:spacing w:before="60" w:after="60" w:line="360" w:lineRule="auto"/>
        <w:jc w:val="both"/>
      </w:pPr>
      <w:r>
        <w:rPr>
          <w:color w:val="000000"/>
        </w:rPr>
        <w:t xml:space="preserve">The Karad gauging station (AK000X6) on the Krishna River sits at the downstream end of the upper sub-basin, recording runoff from a 5,462 km² catchment that includes the Western Ghats escarpment and a significant portion of the Sahyadri rain shadow zone. It is the primary reference gauge for the Upper Krishna Division of the CWC, influencing the design of bridges, weirs and irrigation infrastructure across Satara and </w:t>
      </w:r>
      <w:proofErr w:type="spellStart"/>
      <w:r>
        <w:rPr>
          <w:color w:val="000000"/>
        </w:rPr>
        <w:t>Sangli</w:t>
      </w:r>
      <w:proofErr w:type="spellEnd"/>
      <w:r>
        <w:rPr>
          <w:color w:val="000000"/>
        </w:rPr>
        <w:t xml:space="preserve"> districts. The station holds a 57-year continuous record of annual instantaneous peak discharges — one of the longest available for any peninsular Indian river — yet no modern multi-distribution FFA with uncertainty quantification has been published for this site. The most recent formal CWC analysis applied only the Gumbel distribution without confidence intervals (CWC, 2015).</w:t>
      </w:r>
    </w:p>
    <w:p w14:paraId="2AD43715" w14:textId="77777777" w:rsidR="00C93607" w:rsidRDefault="00000000">
      <w:pPr>
        <w:spacing w:before="60" w:after="60" w:line="360" w:lineRule="auto"/>
        <w:jc w:val="both"/>
      </w:pPr>
      <w:r>
        <w:rPr>
          <w:color w:val="000000"/>
        </w:rPr>
        <w:t>This study was motivated by three practical concerns. The first is that the record has grown by approximately 15 years since the last formal analysis, including several high-magnitude events (2005, 2006, 2019, 2021) that change the statistical properties of the series. The second is that the growing body of FFA literature demonstrates clearly that the choice of probability distribution significantly affects design flood estimates, especially for long return periods relevant to dam safety. The third is that no study has applied modern uncertainty quantification — bootstrap intervals, Monte Carlo simulation or Bayesian inference — to this station, leaving engineers without a probabilistic basis for risk-informed decision making.</w:t>
      </w:r>
    </w:p>
    <w:p w14:paraId="2A51F0F4" w14:textId="77777777" w:rsidR="00C93607" w:rsidRDefault="00000000">
      <w:pPr>
        <w:pStyle w:val="Heading2"/>
      </w:pPr>
      <w:r>
        <w:rPr>
          <w:color w:val="1A6B5A"/>
        </w:rPr>
        <w:t>1.1  Research Objectives</w:t>
      </w:r>
    </w:p>
    <w:p w14:paraId="24958FB1" w14:textId="77777777" w:rsidR="00C93607" w:rsidRDefault="00000000">
      <w:pPr>
        <w:spacing w:before="60" w:after="60" w:line="360" w:lineRule="auto"/>
        <w:jc w:val="both"/>
      </w:pPr>
      <w:r>
        <w:rPr>
          <w:color w:val="000000"/>
        </w:rPr>
        <w:t>This study pursues four specific objectives, each of which directly addresses a gap in the current state of knowledge for this site and region. The objectives are deliberately limited to four in order to maintain analytical focus and ensure that each is pursued with the depth required for peer-reviewed scholarship.</w:t>
      </w:r>
    </w:p>
    <w:p w14:paraId="18B644FB" w14:textId="77777777" w:rsidR="00C93607" w:rsidRDefault="00000000">
      <w:pPr>
        <w:spacing w:before="60" w:after="60" w:line="360" w:lineRule="auto"/>
        <w:jc w:val="both"/>
      </w:pPr>
      <w:r>
        <w:rPr>
          <w:color w:val="000000"/>
        </w:rPr>
        <w:t>Objective 1 is to rigorously verify the statistical assumptions — specifically stationarity, independence, randomness and non-normality — that must hold before classical FFA can be legitimately applied to the Karad discharge series. This step is often skipped in practice but is essential for the validity of all downstream results.</w:t>
      </w:r>
    </w:p>
    <w:p w14:paraId="23811632" w14:textId="77777777" w:rsidR="00C93607" w:rsidRDefault="00000000">
      <w:pPr>
        <w:spacing w:before="60" w:after="60" w:line="360" w:lineRule="auto"/>
        <w:jc w:val="both"/>
      </w:pPr>
      <w:r>
        <w:rPr>
          <w:color w:val="000000"/>
        </w:rPr>
        <w:t>Objective 2 is to fit twelve probability distributions to the annual maximum series using Maximum Likelihood Estimation, rank them by information-theoretic criteria (</w:t>
      </w:r>
      <w:proofErr w:type="spellStart"/>
      <w:r>
        <w:rPr>
          <w:color w:val="000000"/>
        </w:rPr>
        <w:t>AICc</w:t>
      </w:r>
      <w:proofErr w:type="spellEnd"/>
      <w:r>
        <w:rPr>
          <w:color w:val="000000"/>
        </w:rPr>
        <w:t>, BIC and HQIC) and identify the best-fitting model with quantified statistical evidence through Akaike weights and goodness-of-fit testing.</w:t>
      </w:r>
    </w:p>
    <w:p w14:paraId="2A3D3ACE" w14:textId="77777777" w:rsidR="00C93607" w:rsidRDefault="00000000">
      <w:pPr>
        <w:spacing w:before="60" w:after="60" w:line="360" w:lineRule="auto"/>
        <w:jc w:val="both"/>
      </w:pPr>
      <w:r>
        <w:rPr>
          <w:color w:val="000000"/>
        </w:rPr>
        <w:t>Objective 3 is to estimate design floods for return periods from 2 to 1,000 years with fully quantified uncertainty through three complementary methods: non-parametric bootstrap confidence intervals, Monte Carlo simulation and Bayesian Markov Chain Monte Carlo inference. These estimates are then compared against an independent Peaks-Over-Threshold analysis using the Generalised Pareto Distribution.</w:t>
      </w:r>
    </w:p>
    <w:p w14:paraId="0A05C4FC" w14:textId="77777777" w:rsidR="00C93607" w:rsidRDefault="00000000">
      <w:pPr>
        <w:spacing w:before="60" w:after="60" w:line="360" w:lineRule="auto"/>
        <w:jc w:val="both"/>
      </w:pPr>
      <w:r>
        <w:rPr>
          <w:color w:val="000000"/>
        </w:rPr>
        <w:t>Objective 4 is to apply machine learning techniques to identify the dominant physical predictors of annual flood magnitude at this station, thereby providing an independent data-driven complement to the parametric frequency analysis and advancing understanding of the hydroclimatic drivers of flood variability in the Upper Krishna Basin.</w:t>
      </w:r>
    </w:p>
    <w:p w14:paraId="1A62AA5A" w14:textId="77777777" w:rsidR="00C93607" w:rsidRDefault="00000000">
      <w:r>
        <w:br w:type="page"/>
      </w:r>
    </w:p>
    <w:p w14:paraId="562DF804" w14:textId="77777777" w:rsidR="00C93607" w:rsidRDefault="00000000">
      <w:pPr>
        <w:pStyle w:val="Heading1"/>
        <w:pBdr>
          <w:bottom w:val="single" w:sz="8" w:space="6" w:color="1B3A6B"/>
        </w:pBdr>
      </w:pPr>
      <w:r>
        <w:rPr>
          <w:color w:val="1B3A6B"/>
        </w:rPr>
        <w:t>2. Literature Review and Justification of Objectives</w:t>
      </w:r>
    </w:p>
    <w:p w14:paraId="3C908992" w14:textId="77777777" w:rsidR="00C93607" w:rsidRDefault="00000000">
      <w:pPr>
        <w:pStyle w:val="Heading2"/>
      </w:pPr>
      <w:r>
        <w:rPr>
          <w:color w:val="1A6B5A"/>
        </w:rPr>
        <w:t>2.1  The Classical Approach and Its Limitations</w:t>
      </w:r>
    </w:p>
    <w:p w14:paraId="0FFA70E5" w14:textId="77777777" w:rsidR="00C93607" w:rsidRDefault="00000000">
      <w:pPr>
        <w:spacing w:before="60" w:after="60" w:line="360" w:lineRule="auto"/>
        <w:jc w:val="both"/>
      </w:pPr>
      <w:r>
        <w:rPr>
          <w:color w:val="000000"/>
        </w:rPr>
        <w:t>The statistical analysis of extreme floods has a distinguished history dating to the 1940s, when Gumbel (1941) applied asymptotic extreme value theory to show that annual maximum values from a sufficiently large parent population converge to one of three extreme value distributions. The Gumbel Extreme Value Type I distribution — the first asymptote — became the dominant tool in hydrology worldwide and was adopted by the CWC of India (1966) as the national standard. The procedure is straightforward: fit two parameters (location and scale) by the Method of Moments using the sample mean and standard deviation, then read off design floods from tables of the Gumbel frequency factor. Generations of Indian hydraulic engineers have been trained in this method, and it remains the backbone of CWC Regional Flood Estimation Reports (CWC, 1988, 2015).</w:t>
      </w:r>
    </w:p>
    <w:p w14:paraId="15C9C647" w14:textId="77777777" w:rsidR="00C93607" w:rsidRDefault="00000000">
      <w:pPr>
        <w:spacing w:before="60" w:after="60" w:line="360" w:lineRule="auto"/>
        <w:jc w:val="both"/>
      </w:pPr>
      <w:r>
        <w:rPr>
          <w:color w:val="000000"/>
        </w:rPr>
        <w:t>However, the assumption that the Gumbel distribution is always appropriate has been challenged repeatedly in the literature. Kite (1977) showed that for many rivers in different climatic regimes, other distributions — particularly the Log-Pearson Type III and Log-Normal — fit annual maximum discharge data better than the Gumbel. The United States Water Resources Council (USWRC, 1982, 2019) adopted the Log-Pearson Type III as its national standard precisely because it outperformed the Gumbel across a large set of American gauging stations. In India, Rao and Hamed (2000) demonstrated that the LP3 and P3 distributions generally provide better fits to peninsular Indian flood data than EV1. More recently, Seo et al. (2020) systematically evaluated multiple distributions across Asian river systems and found that information-theoretic criteria consistently favoured log-space distributions over the Gumbel for monsoon-dominated basins. This gap in Indian practice — continued reliance on a single distribution against the weight of evidence in favour of multi-distribution evaluation — is precisely what Objective 2 of this study addresses.</w:t>
      </w:r>
    </w:p>
    <w:p w14:paraId="78C85766" w14:textId="77777777" w:rsidR="00C93607" w:rsidRDefault="00000000">
      <w:pPr>
        <w:pStyle w:val="Heading2"/>
      </w:pPr>
      <w:r>
        <w:rPr>
          <w:color w:val="1A6B5A"/>
        </w:rPr>
        <w:t>2.2  Why Verifying Assumptions Matters (Justification of Objective 1)</w:t>
      </w:r>
    </w:p>
    <w:p w14:paraId="38CDDA71" w14:textId="77777777" w:rsidR="00C93607" w:rsidRDefault="00000000">
      <w:pPr>
        <w:spacing w:before="60" w:after="60" w:line="360" w:lineRule="auto"/>
        <w:jc w:val="both"/>
      </w:pPr>
      <w:r>
        <w:rPr>
          <w:color w:val="000000"/>
        </w:rPr>
        <w:t>The mathematical foundation of classical FFA rests on three core assumptions: the annual maxima are drawn from a stationary distribution, successive values are independent (or at least uncorrelated), and the underlying population has sufficient extreme-value structure to justify the application of one of the three asymptotic extreme value families (Leadbetter et al., 1983). In practice, these assumptions are often taken for granted rather than formally tested, particularly in Indian engineering practice. Yet violations of stationarity — due to land use change, reservoir operations, or long-term climate shifts — can make traditional design flood estimates either dangerously conservative or non-conservative (Milly et al., 2008). Violations of independence — due to multi-year drought or flood cycles driven by ENSO or the Indian Ocean Dipole — can cause conventional statistical tests to underestimate confidence intervals, leading to false precision in design estimates.</w:t>
      </w:r>
    </w:p>
    <w:p w14:paraId="4C41FA97" w14:textId="77777777" w:rsidR="00C93607" w:rsidRDefault="00000000">
      <w:pPr>
        <w:spacing w:before="60" w:after="60" w:line="360" w:lineRule="auto"/>
        <w:jc w:val="both"/>
      </w:pPr>
      <w:r>
        <w:rPr>
          <w:color w:val="000000"/>
        </w:rPr>
        <w:t>For the Karad station specifically, there is reason to be cautious. The Upper Krishna Basin has seen substantial change over the 57-year record: the Koyna Dam (completed 1962) and Warna Dam (1985) affect seasonal flow patterns, albeit primarily non-flood flows; monsoon patterns across the Western Ghats show evidence of decadal variability linked to SST anomalies (Kumar et al., 2006); and two extraordinarily large flood years (2005 and 2019) in the latter part of the record could conceivably represent a non-stationary shift. Formally testing for trends, change points and autocorrelation is therefore not a formality but a genuine scientific requirement for this dataset. This is the core justification for Objective 1.</w:t>
      </w:r>
    </w:p>
    <w:p w14:paraId="1A374F05" w14:textId="77777777" w:rsidR="00C93607" w:rsidRDefault="00000000">
      <w:pPr>
        <w:pStyle w:val="Heading2"/>
      </w:pPr>
      <w:r>
        <w:rPr>
          <w:color w:val="1A6B5A"/>
        </w:rPr>
        <w:t>2.3  The Case for Uncertainty Quantification (Justification of Objective 3)</w:t>
      </w:r>
    </w:p>
    <w:p w14:paraId="56DF3653" w14:textId="77777777" w:rsidR="00C93607" w:rsidRDefault="00000000">
      <w:pPr>
        <w:spacing w:before="60" w:after="60" w:line="360" w:lineRule="auto"/>
        <w:jc w:val="both"/>
      </w:pPr>
      <w:r>
        <w:rPr>
          <w:color w:val="000000"/>
        </w:rPr>
        <w:t xml:space="preserve">Even when the stationarity assumption holds and the right distribution is chosen, design flood estimates carry substantial sampling uncertainty that increases rapidly with return period. </w:t>
      </w:r>
      <w:proofErr w:type="spellStart"/>
      <w:r>
        <w:rPr>
          <w:color w:val="000000"/>
        </w:rPr>
        <w:t>Stedinger</w:t>
      </w:r>
      <w:proofErr w:type="spellEnd"/>
      <w:r>
        <w:rPr>
          <w:color w:val="000000"/>
        </w:rPr>
        <w:t xml:space="preserve"> et al. (1993) showed analytically that the coefficient of variation of a Gumbel Q₁₀₀ estimate grows approximately as 1/√n, meaning that even with 57 years of data, the 95% confidence interval for Q₁₀₀ spans roughly ±20% of the central estimate. At T = 1,000 years — relevant to dam spillway design — the uncertainty can exceed ±50%. Ignoring this uncertainty leads directly to under-designed or over-designed infrastructure, both of which carry </w:t>
      </w:r>
      <w:proofErr w:type="gramStart"/>
      <w:r>
        <w:rPr>
          <w:color w:val="000000"/>
        </w:rPr>
        <w:t>real</w:t>
      </w:r>
      <w:proofErr w:type="gramEnd"/>
      <w:r>
        <w:rPr>
          <w:color w:val="000000"/>
        </w:rPr>
        <w:t xml:space="preserve"> economic and safety consequences.</w:t>
      </w:r>
    </w:p>
    <w:p w14:paraId="4C34013E" w14:textId="77777777" w:rsidR="00C93607" w:rsidRDefault="00000000">
      <w:pPr>
        <w:spacing w:before="60" w:after="60" w:line="360" w:lineRule="auto"/>
        <w:jc w:val="both"/>
      </w:pPr>
      <w:r>
        <w:rPr>
          <w:color w:val="000000"/>
        </w:rPr>
        <w:t xml:space="preserve">Three complementary uncertainty quantification methods have been proposed in the literature. Bootstrap resampling (Efron, 1979) is non-parametric and makes no assumption about the form of the sampling distribution; it is the method recommended by the USWRC Bulletin 17C (2019) as the primary CI method. Monte Carlo simulation (Rubinstein, 1981) allows propagation of parameter uncertainty through the quantile function and provides empirical distributions of design flood estimates. Bayesian MCMC inference (Parent &amp; Bernier, 2003; Reis &amp; </w:t>
      </w:r>
      <w:proofErr w:type="spellStart"/>
      <w:r>
        <w:rPr>
          <w:color w:val="000000"/>
        </w:rPr>
        <w:t>Stedinger</w:t>
      </w:r>
      <w:proofErr w:type="spellEnd"/>
      <w:r>
        <w:rPr>
          <w:color w:val="000000"/>
        </w:rPr>
        <w:t>, 2005) is the most theoretically complete approach, naturally incorporating prior information and producing full posterior predictive distributions. Applying all three methods to the same dataset and comparing results — as we do in this study — provides a uniquely comprehensive picture of estimation uncertainty, directly serving Objective 3.</w:t>
      </w:r>
    </w:p>
    <w:p w14:paraId="0220815E" w14:textId="77777777" w:rsidR="00C93607" w:rsidRDefault="00000000">
      <w:pPr>
        <w:pStyle w:val="Heading2"/>
      </w:pPr>
      <w:r>
        <w:rPr>
          <w:color w:val="1A6B5A"/>
        </w:rPr>
        <w:t>2.4  Machine Learning as a Complementary Diagnostic Tool (Justification of Objective 4)</w:t>
      </w:r>
    </w:p>
    <w:p w14:paraId="340F9E75" w14:textId="77777777" w:rsidR="00C93607" w:rsidRDefault="00000000">
      <w:pPr>
        <w:spacing w:before="60" w:after="60" w:line="360" w:lineRule="auto"/>
        <w:jc w:val="both"/>
      </w:pPr>
      <w:r>
        <w:rPr>
          <w:color w:val="000000"/>
        </w:rPr>
        <w:t>Machine learning methods have been applied to streamflow prediction in India and worldwide with growing success over the past two decades (ASCE Task Committee, 2000; Maier &amp; Dandy, 2000). However, their role in flood frequency analysis specifically has been underexplored. Classical FFA treats each annual maximum as a sample from an unchanging population; machine learning can reveal structure within that sample that classical methods cannot detect, such as the influence of antecedent basin state on peak magnitude, or the modulation of flood generation by multi-year climate cycles. This is particularly valuable for stations like Karad where physical understanding of the dominant flood-generating mechanisms is incomplete.</w:t>
      </w:r>
    </w:p>
    <w:p w14:paraId="563EC7E5" w14:textId="77777777" w:rsidR="00C93607" w:rsidRDefault="00000000">
      <w:pPr>
        <w:spacing w:before="60" w:after="60" w:line="360" w:lineRule="auto"/>
        <w:jc w:val="both"/>
      </w:pPr>
      <w:r>
        <w:rPr>
          <w:color w:val="000000"/>
        </w:rPr>
        <w:t>Random Forests (</w:t>
      </w:r>
      <w:proofErr w:type="spellStart"/>
      <w:r>
        <w:rPr>
          <w:color w:val="000000"/>
        </w:rPr>
        <w:t>Breiman</w:t>
      </w:r>
      <w:proofErr w:type="spellEnd"/>
      <w:r>
        <w:rPr>
          <w:color w:val="000000"/>
        </w:rPr>
        <w:t>, 2001) provide a natural feature importance ranking that quantifies how much predictive information each explanatory variable (lag discharges, rolling statistics, stage, calendar timing) contributes to annual flood magnitude. Gaussian Process Regression (Rasmussen &amp; Williams, 2006) offers principled uncertainty bands around predictions. These tools do not replace parametric FFA — they cannot extrapolate to return periods beyond the observed range — but they complement it by identifying the physical processes that drive the variability the distribution models are trying to capture. The Karad dataset, with its rich 57-year record and available stage data, provides an ideal testbed for this complementary ML analysis. This is the justification for Objective 4.</w:t>
      </w:r>
    </w:p>
    <w:p w14:paraId="4187816B" w14:textId="77777777" w:rsidR="00C93607" w:rsidRDefault="00000000">
      <w:pPr>
        <w:pStyle w:val="Heading2"/>
      </w:pPr>
      <w:r>
        <w:rPr>
          <w:color w:val="1A6B5A"/>
        </w:rPr>
        <w:t>2.5  Why This Analysis is More Robust than Prior Studies</w:t>
      </w:r>
    </w:p>
    <w:p w14:paraId="067CCEED" w14:textId="77777777" w:rsidR="00C93607" w:rsidRDefault="00000000">
      <w:pPr>
        <w:spacing w:before="60" w:after="60" w:line="360" w:lineRule="auto"/>
        <w:jc w:val="both"/>
      </w:pPr>
      <w:r>
        <w:rPr>
          <w:color w:val="000000"/>
        </w:rPr>
        <w:t>This section directly addresses the question of methodological advancement over existing work. Prior flood frequency studies for the Karad station and the wider Upper Krishna Basin (CWC, 1988, 2015; CWPRS, 2023) share several methodological limitations that the present study overcomes. The following comparison makes the improvements concrete.</w:t>
      </w:r>
    </w:p>
    <w:p w14:paraId="7D1B0088" w14:textId="77777777" w:rsidR="00C93607" w:rsidRDefault="00000000">
      <w:pPr>
        <w:spacing w:before="60" w:after="60" w:line="360" w:lineRule="auto"/>
        <w:jc w:val="both"/>
      </w:pPr>
      <w:r>
        <w:rPr>
          <w:color w:val="000000"/>
        </w:rPr>
        <w:t xml:space="preserve">The single most important methodological difference is the use of twelve probability distributions versus the single Gumbel distribution used in all prior CWC analyses. When you use only one distribution, you have no way of knowing whether it is appropriate for your data. The information-theoretic framework we employ — ranking distributions by </w:t>
      </w:r>
      <w:proofErr w:type="spellStart"/>
      <w:r>
        <w:rPr>
          <w:color w:val="000000"/>
        </w:rPr>
        <w:t>AICc</w:t>
      </w:r>
      <w:proofErr w:type="spellEnd"/>
      <w:r>
        <w:rPr>
          <w:color w:val="000000"/>
        </w:rPr>
        <w:t>, BIC and HQIC, and computing Akaike weights — provides a rigorous, data-driven answer to the question of which distribution is most appropriate. The result here is striking: the Log-Pearson III achieves an Akaike weight of 1.000, meaning it captures essentially all of the statistical evidence within the candidate model set, yet prior studies at this station never tested it.</w:t>
      </w:r>
    </w:p>
    <w:p w14:paraId="0FF06895" w14:textId="77777777" w:rsidR="00C93607" w:rsidRDefault="00000000">
      <w:pPr>
        <w:spacing w:before="60" w:after="60" w:line="360" w:lineRule="auto"/>
        <w:jc w:val="both"/>
      </w:pPr>
      <w:r>
        <w:rPr>
          <w:color w:val="000000"/>
        </w:rPr>
        <w:t>A second major advancement is formal assumption testing. Prior CWC analyses assumed stationarity and independence without testing them. This study applies six normality tests, five trend and stationarity tests, and four autocorrelation tests. The results — confirming stationarity and independence — are reassuring, but the exercise could easily have revealed violations that would have required fundamentally different analytical approaches. Skipping these tests, as prior studies do, is not merely a methodological shortcut; it is a scientific risk.</w:t>
      </w:r>
    </w:p>
    <w:p w14:paraId="14E8C352" w14:textId="77777777" w:rsidR="00C93607" w:rsidRDefault="00000000">
      <w:pPr>
        <w:spacing w:before="60" w:after="60" w:line="360" w:lineRule="auto"/>
        <w:jc w:val="both"/>
      </w:pPr>
      <w:r>
        <w:rPr>
          <w:color w:val="000000"/>
        </w:rPr>
        <w:t>A third advancement is uncertainty quantification. The CWC point estimates for Q₁₀₀ and Q₁₀₀₀ carry no confidence intervals and no indication of how sensitive they are to sampling variability. The present study provides three independent uncertainty frameworks — bootstrap CIs (B = 2,000), Monte Carlo simulation (M = 10,000) and Bayesian MCMC (12,000 samples) — all of which converge on consistent 95% intervals. For engineering practice, the difference between a point estimate of 7,181 m³/s and an interval of [5,923; 8,458] m³/s is the difference between false precision and honest uncertainty communication.</w:t>
      </w:r>
    </w:p>
    <w:p w14:paraId="4099D431" w14:textId="77777777" w:rsidR="00C93607" w:rsidRDefault="00000000">
      <w:pPr>
        <w:spacing w:before="60" w:after="60" w:line="360" w:lineRule="auto"/>
        <w:jc w:val="both"/>
      </w:pPr>
      <w:r>
        <w:rPr>
          <w:color w:val="000000"/>
        </w:rPr>
        <w:t>A fourth advancement is the independent validation provided by the Peaks-Over-Threshold (POT) approach. By analysing all flood events exceeding the 75th percentile — rather than only one event per year — POT provides an entirely different statistical framework with different assumptions. When the POT estimate of Q₁₀₀ = 6,973 m³/s matches the AMS-based Gumbel estimate of 7,181 m³/s within 3%, confidence in both estimates increases substantially. Prior studies offer no such independent validation.</w:t>
      </w:r>
    </w:p>
    <w:p w14:paraId="686E2681" w14:textId="77777777" w:rsidR="00C93607" w:rsidRDefault="00000000">
      <w:pPr>
        <w:spacing w:before="60" w:after="60" w:line="360" w:lineRule="auto"/>
        <w:jc w:val="both"/>
      </w:pPr>
      <w:r>
        <w:rPr>
          <w:color w:val="000000"/>
        </w:rPr>
        <w:t>The fifth advancement is the discovery of a physical upper bound. The GPD shape parameter ξ = −0.789 implies a finite maximum possible discharge of approximately 7,271 m³/s at this site — a finding with profound implications for dam safety assessments. This bounded behaviour means that traditional extrapolations to T = 10,000 years or to Probable Maximum Flood levels using unbounded distributions will systematically overestimate flood hazard, leading to unnecessarily expensive spillway designs. No prior study has identified or discussed this physical constraint for the Karad sub-catchment.</w:t>
      </w:r>
    </w:p>
    <w:p w14:paraId="64C8005F" w14:textId="77777777" w:rsidR="00C93607" w:rsidRDefault="00000000">
      <w:r>
        <w:br w:type="page"/>
      </w:r>
    </w:p>
    <w:p w14:paraId="67C330B9" w14:textId="77777777" w:rsidR="00C93607" w:rsidRDefault="00000000">
      <w:pPr>
        <w:pStyle w:val="Heading1"/>
        <w:pBdr>
          <w:bottom w:val="single" w:sz="8" w:space="6" w:color="1B3A6B"/>
        </w:pBdr>
      </w:pPr>
      <w:r>
        <w:rPr>
          <w:color w:val="1B3A6B"/>
        </w:rPr>
        <w:t>3. Study Area and Data Description</w:t>
      </w:r>
    </w:p>
    <w:p w14:paraId="46311ED8" w14:textId="77777777" w:rsidR="00C93607" w:rsidRDefault="00000000">
      <w:pPr>
        <w:pStyle w:val="Heading2"/>
      </w:pPr>
      <w:r>
        <w:rPr>
          <w:color w:val="1A6B5A"/>
        </w:rPr>
        <w:t>3.1  The Karad Gauging Station</w:t>
      </w:r>
    </w:p>
    <w:p w14:paraId="6579250D" w14:textId="77777777" w:rsidR="00C93607" w:rsidRDefault="00000000">
      <w:pPr>
        <w:spacing w:before="60" w:after="60" w:line="360" w:lineRule="auto"/>
        <w:jc w:val="both"/>
      </w:pPr>
      <w:r>
        <w:rPr>
          <w:color w:val="000000"/>
        </w:rPr>
        <w:t>The Karad Bridge gauging station (CWC code AK000X6) is located at approximately 17°17′30″ N, 74°11′42″ E on the Krishna River in Satara District, Maharashtra. It sits just downstream of the confluence of the Krishna and Koyna rivers, making it the primary flow reference point for the Upper Krishna Division of the CWC. The station controls a well-defined sub-catchment of 5,462 km², stretching from the crest of the Western Ghats (elevation approximately 1,300 m) to the gauge point at approximately 550 m above mean sea level. The zero-gauge datum is 549.915 m MSL (revised 01 June 2004). The division managing this station is the Upper Krishna Division, Pune.</w:t>
      </w:r>
    </w:p>
    <w:p w14:paraId="738F42BB" w14:textId="77777777" w:rsidR="00C93607" w:rsidRDefault="00000000">
      <w:pPr>
        <w:spacing w:before="60" w:after="60" w:line="360" w:lineRule="auto"/>
        <w:jc w:val="both"/>
      </w:pPr>
      <w:r>
        <w:rPr>
          <w:color w:val="000000"/>
        </w:rPr>
        <w:t xml:space="preserve">The catchment falls within the Sahyadri Ranges rain belt, receiving mean annual rainfall of 1,200–2,800 mm at different elevations, with over 85% falling during the South-West Monsoon season (June–September). The upper catchment, near the Koyna Reservoir, is among the wettest areas in India, regularly receiving in excess of 4,000 mm annually. The river at the Karad gauge has a steep channel gradient of approximately 0.0003, with a </w:t>
      </w:r>
      <w:proofErr w:type="spellStart"/>
      <w:r>
        <w:rPr>
          <w:color w:val="000000"/>
        </w:rPr>
        <w:t>bankfull</w:t>
      </w:r>
      <w:proofErr w:type="spellEnd"/>
      <w:r>
        <w:rPr>
          <w:color w:val="000000"/>
        </w:rPr>
        <w:t xml:space="preserve"> width of 200–250 m. Flood hydrographs at this station typically have sharp rising limbs of 6–18 hours, consistent with the high orographic rainfall intensity on the Western Ghats.</w:t>
      </w:r>
    </w:p>
    <w:p w14:paraId="59FFE60F" w14:textId="77777777" w:rsidR="00C93607" w:rsidRDefault="00000000">
      <w:pPr>
        <w:pStyle w:val="Heading2"/>
      </w:pPr>
      <w:r>
        <w:rPr>
          <w:color w:val="1A6B5A"/>
        </w:rPr>
        <w:t>3.2  The Discharge Record</w:t>
      </w:r>
    </w:p>
    <w:p w14:paraId="4929BD77" w14:textId="77777777" w:rsidR="00C93607" w:rsidRDefault="00000000">
      <w:pPr>
        <w:spacing w:before="60" w:after="60" w:line="360" w:lineRule="auto"/>
        <w:jc w:val="both"/>
      </w:pPr>
      <w:r>
        <w:rPr>
          <w:color w:val="000000"/>
        </w:rPr>
        <w:t>The dataset used in this analysis consists of the annual instantaneous maximum discharge (in m³/s, also known as cumecs) for each water year from 1965-1966 to 2021-2022 — a total of N = 57 observations. These instantaneous peaks, rather than daily maximum averages, were used because the sharp flood hydrographs at this station mean that daily averages can substantially underrepresent the true peak flow. The data were sourced from the CWC Water Year Book (Volume I, 2021-22) and verified against the published History Sheet for station AK000X6, which records peak water levels and corresponding computed discharges for each year.</w:t>
      </w:r>
    </w:p>
    <w:p w14:paraId="61566D46" w14:textId="77777777" w:rsidR="00C93607" w:rsidRDefault="00000000">
      <w:pPr>
        <w:spacing w:before="60" w:after="60" w:line="360" w:lineRule="auto"/>
        <w:jc w:val="both"/>
      </w:pPr>
      <w:r>
        <w:rPr>
          <w:color w:val="000000"/>
        </w:rPr>
        <w:t>The highest observed instantaneous peak in the record is 7,177 m³/s, recorded on 07 June 1976 at a water level of 567.162 m MSL. This extraordinary event — occurring at the very beginning of the monsoon season, suggesting an intense pre-monsoon convective event rather than a typical monsoon flood — remains the historical flood level (HFL) at this station. The lowest annual maximum was 855 m³/s in 2003-2004, a year of severe drought across the Western Ghats. The record therefore spans a range of nearly 8.4 times between the driest and wettest flood years, a ratio that reflects the high inter-annual variability of the Indian summer monsoon. Table 1 presents a summary of the key data statistics.</w:t>
      </w:r>
    </w:p>
    <w:p w14:paraId="4BAAF79C" w14:textId="77777777" w:rsidR="00C93607" w:rsidRDefault="00000000">
      <w:pPr>
        <w:spacing w:before="160" w:after="60"/>
      </w:pPr>
      <w:r>
        <w:rPr>
          <w:rFonts w:ascii="Arial" w:eastAsia="Arial" w:hAnsi="Arial" w:cs="Arial"/>
          <w:b/>
          <w:bCs/>
          <w:color w:val="1B3A6B"/>
          <w:sz w:val="20"/>
          <w:szCs w:val="20"/>
        </w:rPr>
        <w:t>Table 1. Summary statistics of the Karad annual instantaneous peak discharge series (N = 57, 1965–2022)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3607" w14:paraId="6C61179A"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8EA0C10" w14:textId="77777777" w:rsidR="00C93607" w:rsidRDefault="00000000">
            <w:pPr>
              <w:jc w:val="center"/>
            </w:pPr>
            <w:r>
              <w:rPr>
                <w:rFonts w:ascii="Arial" w:eastAsia="Arial" w:hAnsi="Arial" w:cs="Arial"/>
                <w:b/>
                <w:bCs/>
                <w:color w:val="FFFFFF"/>
                <w:sz w:val="19"/>
                <w:szCs w:val="19"/>
              </w:rPr>
              <w:t>Statistic</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5DDAD56" w14:textId="77777777" w:rsidR="00C93607" w:rsidRDefault="00000000">
            <w:pPr>
              <w:jc w:val="center"/>
            </w:pPr>
            <w:r>
              <w:rPr>
                <w:rFonts w:ascii="Arial" w:eastAsia="Arial" w:hAnsi="Arial" w:cs="Arial"/>
                <w:b/>
                <w:bCs/>
                <w:color w:val="FFFFFF"/>
                <w:sz w:val="19"/>
                <w:szCs w:val="19"/>
              </w:rPr>
              <w:t>Value</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44F88E4" w14:textId="77777777" w:rsidR="00C93607" w:rsidRDefault="00000000">
            <w:pPr>
              <w:jc w:val="center"/>
            </w:pPr>
            <w:r>
              <w:rPr>
                <w:rFonts w:ascii="Arial" w:eastAsia="Arial" w:hAnsi="Arial" w:cs="Arial"/>
                <w:b/>
                <w:bCs/>
                <w:color w:val="FFFFFF"/>
                <w:sz w:val="19"/>
                <w:szCs w:val="19"/>
              </w:rPr>
              <w:t>Statistic</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A438C10" w14:textId="77777777" w:rsidR="00C93607" w:rsidRDefault="00000000">
            <w:pPr>
              <w:jc w:val="center"/>
            </w:pPr>
            <w:r>
              <w:rPr>
                <w:rFonts w:ascii="Arial" w:eastAsia="Arial" w:hAnsi="Arial" w:cs="Arial"/>
                <w:b/>
                <w:bCs/>
                <w:color w:val="FFFFFF"/>
                <w:sz w:val="19"/>
                <w:szCs w:val="19"/>
              </w:rPr>
              <w:t>Value</w:t>
            </w:r>
          </w:p>
        </w:tc>
      </w:tr>
      <w:tr w:rsidR="00C93607" w14:paraId="708115A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3D36E52" w14:textId="77777777" w:rsidR="00C93607" w:rsidRDefault="00000000">
            <w:r>
              <w:rPr>
                <w:sz w:val="19"/>
                <w:szCs w:val="19"/>
              </w:rPr>
              <w:t>N (years)</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13C37E6" w14:textId="77777777" w:rsidR="00C93607" w:rsidRDefault="00000000">
            <w:pPr>
              <w:jc w:val="center"/>
            </w:pPr>
            <w:r>
              <w:rPr>
                <w:sz w:val="19"/>
                <w:szCs w:val="19"/>
              </w:rPr>
              <w:t>57</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E3952EA" w14:textId="77777777" w:rsidR="00C93607" w:rsidRDefault="00000000">
            <w:pPr>
              <w:jc w:val="center"/>
            </w:pPr>
            <w:r>
              <w:rPr>
                <w:sz w:val="19"/>
                <w:szCs w:val="19"/>
              </w:rPr>
              <w:t>L-CV (τ₂)</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82EA51D" w14:textId="77777777" w:rsidR="00C93607" w:rsidRDefault="00000000">
            <w:pPr>
              <w:jc w:val="center"/>
            </w:pPr>
            <w:r>
              <w:rPr>
                <w:sz w:val="19"/>
                <w:szCs w:val="19"/>
              </w:rPr>
              <w:t>0.292</w:t>
            </w:r>
          </w:p>
        </w:tc>
      </w:tr>
      <w:tr w:rsidR="00C93607" w14:paraId="085C70F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28E337" w14:textId="77777777" w:rsidR="00C93607" w:rsidRDefault="00000000">
            <w:r>
              <w:rPr>
                <w:sz w:val="19"/>
                <w:szCs w:val="19"/>
              </w:rPr>
              <w:t>Mean (μ)</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A18154" w14:textId="77777777" w:rsidR="00C93607" w:rsidRDefault="00000000">
            <w:pPr>
              <w:jc w:val="center"/>
            </w:pPr>
            <w:r>
              <w:rPr>
                <w:sz w:val="19"/>
                <w:szCs w:val="19"/>
              </w:rPr>
              <w:t>2,857 m³/s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EB773E" w14:textId="77777777" w:rsidR="00C93607" w:rsidRDefault="00000000">
            <w:pPr>
              <w:jc w:val="center"/>
            </w:pPr>
            <w:r>
              <w:rPr>
                <w:sz w:val="19"/>
                <w:szCs w:val="19"/>
              </w:rPr>
              <w:t>L-skewness (τ₃)</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4A4596" w14:textId="77777777" w:rsidR="00C93607" w:rsidRDefault="00000000">
            <w:pPr>
              <w:jc w:val="center"/>
            </w:pPr>
            <w:r>
              <w:rPr>
                <w:sz w:val="19"/>
                <w:szCs w:val="19"/>
              </w:rPr>
              <w:t>0.247</w:t>
            </w:r>
          </w:p>
        </w:tc>
      </w:tr>
      <w:tr w:rsidR="00C93607" w14:paraId="4000B33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D65CB81" w14:textId="77777777" w:rsidR="00C93607" w:rsidRDefault="00000000">
            <w:r>
              <w:rPr>
                <w:sz w:val="19"/>
                <w:szCs w:val="19"/>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53CFAAB" w14:textId="77777777" w:rsidR="00C93607" w:rsidRDefault="00000000">
            <w:pPr>
              <w:jc w:val="center"/>
            </w:pPr>
            <w:r>
              <w:rPr>
                <w:sz w:val="19"/>
                <w:szCs w:val="19"/>
              </w:rPr>
              <w:t>2,496 m³/s</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F692DB1" w14:textId="77777777" w:rsidR="00C93607" w:rsidRDefault="00000000">
            <w:pPr>
              <w:jc w:val="center"/>
            </w:pPr>
            <w:r>
              <w:rPr>
                <w:sz w:val="19"/>
                <w:szCs w:val="19"/>
              </w:rPr>
              <w:t>L-kurtosis (τ₄)</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10AA249" w14:textId="77777777" w:rsidR="00C93607" w:rsidRDefault="00000000">
            <w:pPr>
              <w:jc w:val="center"/>
            </w:pPr>
            <w:r>
              <w:rPr>
                <w:sz w:val="19"/>
                <w:szCs w:val="19"/>
              </w:rPr>
              <w:t>0.131</w:t>
            </w:r>
          </w:p>
        </w:tc>
      </w:tr>
      <w:tr w:rsidR="00C93607" w14:paraId="2EE8450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E7558F" w14:textId="77777777" w:rsidR="00C93607" w:rsidRDefault="00000000">
            <w:r>
              <w:rPr>
                <w:sz w:val="19"/>
                <w:szCs w:val="19"/>
              </w:rPr>
              <w:t>Std Dev (σ)</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CA4B55" w14:textId="77777777" w:rsidR="00C93607" w:rsidRDefault="00000000">
            <w:pPr>
              <w:jc w:val="center"/>
            </w:pPr>
            <w:r>
              <w:rPr>
                <w:sz w:val="19"/>
                <w:szCs w:val="19"/>
              </w:rPr>
              <w:t>1,527 m³/s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B8C36F" w14:textId="77777777" w:rsidR="00C93607" w:rsidRDefault="00000000">
            <w:pPr>
              <w:jc w:val="center"/>
            </w:pPr>
            <w:r>
              <w:rPr>
                <w:sz w:val="19"/>
                <w:szCs w:val="19"/>
              </w:rPr>
              <w:t>Minimum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2E6513" w14:textId="77777777" w:rsidR="00C93607" w:rsidRDefault="00000000">
            <w:pPr>
              <w:jc w:val="center"/>
            </w:pPr>
            <w:r>
              <w:rPr>
                <w:sz w:val="19"/>
                <w:szCs w:val="19"/>
              </w:rPr>
              <w:t>855 m³/s</w:t>
            </w:r>
          </w:p>
        </w:tc>
      </w:tr>
      <w:tr w:rsidR="00C93607" w14:paraId="091CAC4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FACB6B9" w14:textId="77777777" w:rsidR="00C93607" w:rsidRDefault="00000000">
            <w:r>
              <w:rPr>
                <w:sz w:val="19"/>
                <w:szCs w:val="19"/>
              </w:rPr>
              <w:t>CV = σ/μ</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FEA8BE2" w14:textId="77777777" w:rsidR="00C93607" w:rsidRDefault="00000000">
            <w:pPr>
              <w:jc w:val="center"/>
            </w:pPr>
            <w:r>
              <w:rPr>
                <w:sz w:val="19"/>
                <w:szCs w:val="19"/>
              </w:rPr>
              <w:t>0.534</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4052B2E" w14:textId="77777777" w:rsidR="00C93607" w:rsidRDefault="00000000">
            <w:pPr>
              <w:jc w:val="center"/>
            </w:pPr>
            <w:r>
              <w:rPr>
                <w:sz w:val="19"/>
                <w:szCs w:val="19"/>
              </w:rPr>
              <w:t>Maximum</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5564186" w14:textId="77777777" w:rsidR="00C93607" w:rsidRDefault="00000000">
            <w:pPr>
              <w:jc w:val="center"/>
            </w:pPr>
            <w:r>
              <w:rPr>
                <w:sz w:val="19"/>
                <w:szCs w:val="19"/>
              </w:rPr>
              <w:t>7,177 m³/s</w:t>
            </w:r>
          </w:p>
        </w:tc>
      </w:tr>
      <w:tr w:rsidR="00C93607" w14:paraId="7337E11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096679" w14:textId="77777777" w:rsidR="00C93607" w:rsidRDefault="00000000">
            <w:r>
              <w:rPr>
                <w:sz w:val="19"/>
                <w:szCs w:val="19"/>
              </w:rPr>
              <w:t>Skewness (Cs)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AD0B84" w14:textId="77777777" w:rsidR="00C93607" w:rsidRDefault="00000000">
            <w:pPr>
              <w:jc w:val="center"/>
            </w:pPr>
            <w:r>
              <w:rPr>
                <w:sz w:val="19"/>
                <w:szCs w:val="19"/>
              </w:rPr>
              <w:t>1.082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9FC5CF" w14:textId="77777777" w:rsidR="00C93607" w:rsidRDefault="00000000">
            <w:pPr>
              <w:jc w:val="center"/>
            </w:pPr>
            <w:r>
              <w:rPr>
                <w:sz w:val="19"/>
                <w:szCs w:val="19"/>
              </w:rPr>
              <w:t>IQR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745D9C" w14:textId="77777777" w:rsidR="00C93607" w:rsidRDefault="00000000">
            <w:pPr>
              <w:jc w:val="center"/>
            </w:pPr>
            <w:r>
              <w:rPr>
                <w:sz w:val="19"/>
                <w:szCs w:val="19"/>
              </w:rPr>
              <w:t>1,877 m³/s</w:t>
            </w:r>
          </w:p>
        </w:tc>
      </w:tr>
      <w:tr w:rsidR="00C93607" w14:paraId="04C7C38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1C4259F" w14:textId="77777777" w:rsidR="00C93607" w:rsidRDefault="00000000">
            <w:r>
              <w:rPr>
                <w:sz w:val="19"/>
                <w:szCs w:val="19"/>
              </w:rPr>
              <w:t>Excess Kurtosis</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CE429FE" w14:textId="77777777" w:rsidR="00C93607" w:rsidRDefault="00000000">
            <w:pPr>
              <w:jc w:val="center"/>
            </w:pPr>
            <w:r>
              <w:rPr>
                <w:sz w:val="19"/>
                <w:szCs w:val="19"/>
              </w:rPr>
              <w:t>0.468</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82BB7F5" w14:textId="77777777" w:rsidR="00C93607" w:rsidRDefault="00000000">
            <w:pPr>
              <w:jc w:val="center"/>
            </w:pPr>
            <w:r>
              <w:rPr>
                <w:sz w:val="19"/>
                <w:szCs w:val="19"/>
              </w:rPr>
              <w:t>Log-mean ln(Q)</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03D252B" w14:textId="77777777" w:rsidR="00C93607" w:rsidRDefault="00000000">
            <w:pPr>
              <w:jc w:val="center"/>
            </w:pPr>
            <w:r>
              <w:rPr>
                <w:sz w:val="19"/>
                <w:szCs w:val="19"/>
              </w:rPr>
              <w:t>7.826</w:t>
            </w:r>
          </w:p>
        </w:tc>
      </w:tr>
      <w:tr w:rsidR="00C93607" w14:paraId="0AB5F13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A40061" w14:textId="77777777" w:rsidR="00C93607" w:rsidRDefault="00000000">
            <w:r>
              <w:rPr>
                <w:sz w:val="19"/>
                <w:szCs w:val="19"/>
              </w:rPr>
              <w:t>P25 / P75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AF853E" w14:textId="77777777" w:rsidR="00C93607" w:rsidRDefault="00000000">
            <w:pPr>
              <w:jc w:val="center"/>
            </w:pPr>
            <w:r>
              <w:rPr>
                <w:sz w:val="19"/>
                <w:szCs w:val="19"/>
              </w:rPr>
              <w:t>1,672 / 3,549 m³/s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978D0B" w14:textId="77777777" w:rsidR="00C93607" w:rsidRDefault="00000000">
            <w:pPr>
              <w:jc w:val="center"/>
            </w:pPr>
            <w:r>
              <w:rPr>
                <w:sz w:val="19"/>
                <w:szCs w:val="19"/>
              </w:rPr>
              <w:t>Log-Skewness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0A99AB" w14:textId="77777777" w:rsidR="00C93607" w:rsidRDefault="00000000">
            <w:pPr>
              <w:jc w:val="center"/>
            </w:pPr>
            <w:r>
              <w:rPr>
                <w:sz w:val="19"/>
                <w:szCs w:val="19"/>
              </w:rPr>
              <w:t>0.096</w:t>
            </w:r>
          </w:p>
        </w:tc>
      </w:tr>
    </w:tbl>
    <w:p w14:paraId="00F39863" w14:textId="77777777" w:rsidR="00C93607" w:rsidRDefault="00000000">
      <w:r>
        <w:br w:type="page"/>
      </w:r>
    </w:p>
    <w:p w14:paraId="1C29B36E" w14:textId="77777777" w:rsidR="00C93607" w:rsidRDefault="00000000">
      <w:pPr>
        <w:pStyle w:val="Heading1"/>
        <w:pBdr>
          <w:bottom w:val="single" w:sz="8" w:space="6" w:color="1B3A6B"/>
        </w:pBdr>
      </w:pPr>
      <w:r>
        <w:rPr>
          <w:color w:val="1B3A6B"/>
        </w:rPr>
        <w:t>4. Methods and Methodology</w:t>
      </w:r>
    </w:p>
    <w:p w14:paraId="06D555E9" w14:textId="77777777" w:rsidR="00C93607" w:rsidRDefault="00000000">
      <w:pPr>
        <w:spacing w:before="60" w:after="60" w:line="360" w:lineRule="auto"/>
        <w:jc w:val="both"/>
      </w:pPr>
      <w:r>
        <w:rPr>
          <w:color w:val="000000"/>
        </w:rPr>
        <w:t>This section describes each analytical step in the order it was performed. The logic of the overall approach is as follows: first check that the data meet the assumptions required for classical FFA (Section 4.1); then characterise the shape of the empirical distribution through moment analysis (Section 4.2); then fit twelve distributions and select the best using information criteria (Section 4.3); then estimate design floods with three independent uncertainty frameworks (Section 4.4); then validate using an independent POT approach (Section 4.5); and finally apply machine learning to identify dominant predictors (Section 4.6).</w:t>
      </w:r>
    </w:p>
    <w:p w14:paraId="414D8D8B" w14:textId="77777777" w:rsidR="00C93607" w:rsidRDefault="00000000">
      <w:pPr>
        <w:pStyle w:val="Heading2"/>
      </w:pPr>
      <w:r>
        <w:rPr>
          <w:color w:val="1A6B5A"/>
        </w:rPr>
        <w:t>4.1  Step 1: Assumption Verification</w:t>
      </w:r>
    </w:p>
    <w:p w14:paraId="573BF10A" w14:textId="77777777" w:rsidR="00C93607" w:rsidRDefault="00000000">
      <w:pPr>
        <w:pStyle w:val="Heading3"/>
      </w:pPr>
      <w:r>
        <w:rPr>
          <w:color w:val="334455"/>
        </w:rPr>
        <w:t>4.1.1  Normality Tests</w:t>
      </w:r>
    </w:p>
    <w:p w14:paraId="319ADF34" w14:textId="77777777" w:rsidR="00C93607" w:rsidRDefault="00000000">
      <w:pPr>
        <w:spacing w:before="60" w:after="60" w:line="360" w:lineRule="auto"/>
        <w:jc w:val="both"/>
      </w:pPr>
      <w:r>
        <w:rPr>
          <w:color w:val="000000"/>
        </w:rPr>
        <w:t>Although annual flood maxima are not expected to be normally distributed — extreme value theory predicts non-normal distributions — it is important to characterise the departure from normality, because different types of non-normality support different distribution families. Six tests were applied. The Shapiro-Wilk (1965) test is particularly powerful for samples of this size (n = 57) and tests whether the data could have been drawn from a normal population. The D'Agostino-Pearson (1973) omnibus test combines independent tests for skewness and kurtosis into a single chi-squared statistic, making it sensitive to both types of departure from normality. The Jarque-Bera (1980) test similarly combines skewness and kurtosis. The Kolmogorov-Smirnov (KS) test compares the empirical CDF to a fitted normal CDF. The Anderson-Darling (1952) test is a weighted version of the KS test that places greater emphasis on agreement in the tails — exactly where extreme value analysis is most sensitive. Finally, a log-space KS test was applied to the natural logarithms of the discharges, specifically testing the log-normality hypothesis.</w:t>
      </w:r>
    </w:p>
    <w:p w14:paraId="1D71AE2D" w14:textId="77777777" w:rsidR="00C93607" w:rsidRDefault="00000000">
      <w:pPr>
        <w:pStyle w:val="Heading3"/>
      </w:pPr>
      <w:r>
        <w:rPr>
          <w:color w:val="334455"/>
        </w:rPr>
        <w:t>4.1.2  Stationarity Tests</w:t>
      </w:r>
    </w:p>
    <w:p w14:paraId="2D33B77C" w14:textId="77777777" w:rsidR="00C93607" w:rsidRDefault="00000000">
      <w:pPr>
        <w:spacing w:before="60" w:after="60" w:line="360" w:lineRule="auto"/>
        <w:jc w:val="both"/>
      </w:pPr>
      <w:r>
        <w:rPr>
          <w:color w:val="000000"/>
        </w:rPr>
        <w:t>The Augmented Dickey-Fuller (ADF) test (Said &amp; Dickey, 1984) tests the null hypothesis that the series contains a unit root (i.e., is non-stationary). Rejection of this null — which requires the test statistic to be sufficiently negative — provides evidence for stationarity. The KPSS test (Kwiatkowski et al., 1992) takes the opposite null: it assumes stationarity and rejects it only when the test statistic is large. By applying both tests, we can distinguish between four situations: both confirm stationarity (the ideal case), both indicate non-stationarity, or one confirms and one rejects. For this study, both tests were applied in both level-stationary and trend-stationary modes.</w:t>
      </w:r>
    </w:p>
    <w:p w14:paraId="3412E04C" w14:textId="77777777" w:rsidR="00C93607" w:rsidRDefault="00000000">
      <w:pPr>
        <w:pStyle w:val="Heading3"/>
      </w:pPr>
      <w:r>
        <w:rPr>
          <w:color w:val="334455"/>
        </w:rPr>
        <w:t>4.1.3  Trend and Change-Point Tests</w:t>
      </w:r>
    </w:p>
    <w:p w14:paraId="53338BB1" w14:textId="77777777" w:rsidR="00C93607" w:rsidRDefault="00000000">
      <w:pPr>
        <w:spacing w:before="60" w:after="60" w:line="360" w:lineRule="auto"/>
        <w:jc w:val="both"/>
      </w:pPr>
      <w:r>
        <w:rPr>
          <w:color w:val="000000"/>
        </w:rPr>
        <w:t>Five independent trend detection methods were applied: the original Mann-Kendall (MK) non-parametric test (Mann, 1945; Kendall, 1975), the Hamed-Rao modified Mann-Kendall test (1998) that corrects for autocorrelation, the Seasonal Mann-Kendall test, Spearman's rank correlation with calendar year, and Kendall's τ with calendar year. Sen's (1968) non-parametric slope estimator β = Median[(</w:t>
      </w:r>
      <w:proofErr w:type="spellStart"/>
      <w:r>
        <w:rPr>
          <w:color w:val="000000"/>
        </w:rPr>
        <w:t>x_j</w:t>
      </w:r>
      <w:proofErr w:type="spellEnd"/>
      <w:r>
        <w:rPr>
          <w:color w:val="000000"/>
        </w:rPr>
        <w:t xml:space="preserve"> − </w:t>
      </w:r>
      <w:proofErr w:type="spellStart"/>
      <w:r>
        <w:rPr>
          <w:color w:val="000000"/>
        </w:rPr>
        <w:t>x_i</w:t>
      </w:r>
      <w:proofErr w:type="spellEnd"/>
      <w:r>
        <w:rPr>
          <w:color w:val="000000"/>
        </w:rPr>
        <w:t xml:space="preserve">)/(j − </w:t>
      </w:r>
      <w:proofErr w:type="spellStart"/>
      <w:r>
        <w:rPr>
          <w:color w:val="000000"/>
        </w:rPr>
        <w:t>i</w:t>
      </w:r>
      <w:proofErr w:type="spellEnd"/>
      <w:r>
        <w:rPr>
          <w:color w:val="000000"/>
        </w:rPr>
        <w:t xml:space="preserve">)] for all </w:t>
      </w:r>
      <w:proofErr w:type="spellStart"/>
      <w:r>
        <w:rPr>
          <w:color w:val="000000"/>
        </w:rPr>
        <w:t>i</w:t>
      </w:r>
      <w:proofErr w:type="spellEnd"/>
      <w:r>
        <w:rPr>
          <w:color w:val="000000"/>
        </w:rPr>
        <w:t xml:space="preserve"> &lt; j was computed as the best estimate of the trend magnitude. A Pettitt (1979) change-point test was also applied to detect any abrupt shift in the mean level of the series.</w:t>
      </w:r>
    </w:p>
    <w:p w14:paraId="7B82D519" w14:textId="77777777" w:rsidR="00C93607" w:rsidRDefault="00000000">
      <w:pPr>
        <w:pStyle w:val="Heading3"/>
      </w:pPr>
      <w:r>
        <w:rPr>
          <w:color w:val="334455"/>
        </w:rPr>
        <w:t>4.1.4  Autocorrelation and Hurst Analysis</w:t>
      </w:r>
    </w:p>
    <w:p w14:paraId="65360B14" w14:textId="77777777" w:rsidR="00C93607" w:rsidRDefault="00000000">
      <w:pPr>
        <w:spacing w:before="60" w:after="60" w:line="360" w:lineRule="auto"/>
        <w:jc w:val="both"/>
      </w:pPr>
      <w:r>
        <w:rPr>
          <w:color w:val="000000"/>
        </w:rPr>
        <w:t>The Ljung-Box (1978) Q-statistic was computed for lags 1 through 20 to test the joint null hypothesis of no autocorrelation up to each lag. The Runs test (Wald &amp; Wolfowitz, 1940) tested whether the sequence above and below the median is random. The Hurst exponent H was estimated by Rescaled Range (R/S) analysis (Hurst, 1951), plotting log(R/S) against log(n) for sub-series of different lengths and reading off the slope. A Hurst exponent H = 0.5 indicates a purely random process; H &gt; 0.5 indicates persistence (flood-rich years tend to cluster); H &lt; 0.5 indicates anti-persistence.</w:t>
      </w:r>
    </w:p>
    <w:p w14:paraId="6553E6CA" w14:textId="77777777" w:rsidR="00C93607" w:rsidRDefault="00000000">
      <w:pPr>
        <w:pStyle w:val="Heading2"/>
      </w:pPr>
      <w:r>
        <w:rPr>
          <w:color w:val="1A6B5A"/>
        </w:rPr>
        <w:t>4.2  Step 2: Skewness, Kurtosis and L-Moment Analysis</w:t>
      </w:r>
    </w:p>
    <w:p w14:paraId="5EC9BC22" w14:textId="77777777" w:rsidR="00C93607" w:rsidRDefault="00000000">
      <w:pPr>
        <w:spacing w:before="60" w:after="60" w:line="360" w:lineRule="auto"/>
        <w:jc w:val="both"/>
      </w:pPr>
      <w:r>
        <w:rPr>
          <w:color w:val="000000"/>
        </w:rPr>
        <w:t>The coefficient of skewness Cs is critical in FFA because it determines the shape of the fitted distribution and has a strong influence on design flood estimates at high return periods. The unbiased adjusted Fisher skewness estimator is computed as:</w:t>
      </w:r>
    </w:p>
    <w:p w14:paraId="7C433BA4" w14:textId="77777777" w:rsidR="00C93607" w:rsidRDefault="00000000">
      <w:pPr>
        <w:spacing w:before="120" w:after="120"/>
        <w:jc w:val="center"/>
      </w:pPr>
      <w:r>
        <w:rPr>
          <w:rFonts w:ascii="Courier New" w:eastAsia="Courier New" w:hAnsi="Courier New" w:cs="Courier New"/>
          <w:i/>
          <w:iCs/>
          <w:sz w:val="22"/>
          <w:szCs w:val="22"/>
        </w:rPr>
        <w:t xml:space="preserve">    G₁ = [n / ((n-1)(n-2))] × Σᵢ [(xᵢ - x̄) / s]³</w:t>
      </w:r>
      <w:r>
        <w:rPr>
          <w:i/>
          <w:iCs/>
          <w:color w:val="555555"/>
          <w:sz w:val="20"/>
          <w:szCs w:val="20"/>
        </w:rPr>
        <w:t xml:space="preserve">  ...(Eq. 1)</w:t>
      </w:r>
    </w:p>
    <w:p w14:paraId="3A53F3DF" w14:textId="77777777" w:rsidR="00C93607" w:rsidRDefault="00000000">
      <w:pPr>
        <w:spacing w:before="60" w:after="60" w:line="360" w:lineRule="auto"/>
        <w:jc w:val="both"/>
      </w:pPr>
      <w:r>
        <w:rPr>
          <w:color w:val="000000"/>
        </w:rPr>
        <w:t>where n is sample size, x̄ is the sample mean and s is the unbiased standard deviation. Seven independent skewness estimators were computed — including the Bowley percentile-based estimator and both Pearson estimators — to ensure robustness. Bootstrap 95% confidence intervals for all moment estimators were computed using B = 5,000 resamples, providing a direct measure of the sampling uncertainty in Cs and Ck.</w:t>
      </w:r>
    </w:p>
    <w:p w14:paraId="41BF7E10" w14:textId="77777777" w:rsidR="00C93607" w:rsidRDefault="00000000">
      <w:pPr>
        <w:spacing w:before="60" w:after="60" w:line="360" w:lineRule="auto"/>
        <w:jc w:val="both"/>
      </w:pPr>
      <w:r>
        <w:rPr>
          <w:color w:val="000000"/>
        </w:rPr>
        <w:t>L-moments (Hosking, 1990) were computed as linear combinations of order statistics, yielding the L-mean λ₁, L-scale λ₂, L-skewness ratio τ₃ = λ₃/λ₂ and L-kurtosis ratio τ₄ = λ₄/λ₂. These ratios are plotted on the L-moment ratio diagram to visually identify which distribution family is most consistent with the data structure, following the regional analysis methodology of Hosking and Wallis (1997).</w:t>
      </w:r>
    </w:p>
    <w:p w14:paraId="6A5413A9" w14:textId="77777777" w:rsidR="00C93607" w:rsidRDefault="00000000">
      <w:pPr>
        <w:pStyle w:val="Heading2"/>
      </w:pPr>
      <w:r>
        <w:rPr>
          <w:color w:val="1A6B5A"/>
        </w:rPr>
        <w:t>4.3  Step 3: Distribution Fitting and Selection</w:t>
      </w:r>
    </w:p>
    <w:p w14:paraId="36833128" w14:textId="77777777" w:rsidR="00C93607" w:rsidRDefault="00000000">
      <w:pPr>
        <w:spacing w:before="60" w:after="60" w:line="360" w:lineRule="auto"/>
        <w:jc w:val="both"/>
      </w:pPr>
      <w:r>
        <w:rPr>
          <w:color w:val="000000"/>
        </w:rPr>
        <w:t xml:space="preserve">Twelve probability distributions were fitted to the annual maximum discharge series using Maximum Likelihood Estimation (MLE). The log-likelihood function ℓ(θ; x) = Σᵢ log f(xᵢ; θ) was maximised numerically. For each fitted distribution, the following goodness-of-fit statistics were computed: the Kolmogorov-Smirnov statistic </w:t>
      </w:r>
      <w:proofErr w:type="spellStart"/>
      <w:r>
        <w:rPr>
          <w:color w:val="000000"/>
        </w:rPr>
        <w:t>D_n</w:t>
      </w:r>
      <w:proofErr w:type="spellEnd"/>
      <w:r>
        <w:rPr>
          <w:color w:val="000000"/>
        </w:rPr>
        <w:t xml:space="preserve"> = </w:t>
      </w:r>
      <w:proofErr w:type="spellStart"/>
      <w:r>
        <w:rPr>
          <w:color w:val="000000"/>
        </w:rPr>
        <w:t>sup|F_n</w:t>
      </w:r>
      <w:proofErr w:type="spellEnd"/>
      <w:r>
        <w:rPr>
          <w:color w:val="000000"/>
        </w:rPr>
        <w:t xml:space="preserve">(x) − F(x; θ̂)|, which tests whether the empirical CDF and the fitted CDF are significantly different; the R² of the quantile-quantile plot, which measures how closely the fitted distribution matches the empirical distribution across all observed ranks; the Akaike Information Criterion AIC = 2k − 2ℓ; the corrected AIC for small samples </w:t>
      </w:r>
      <w:proofErr w:type="spellStart"/>
      <w:r>
        <w:rPr>
          <w:color w:val="000000"/>
        </w:rPr>
        <w:t>AICc</w:t>
      </w:r>
      <w:proofErr w:type="spellEnd"/>
      <w:r>
        <w:rPr>
          <w:color w:val="000000"/>
        </w:rPr>
        <w:t xml:space="preserve"> = AIC + 2k(k+1)/(n−k−1); the Bayesian Information Criterion BIC = k ln(n) − 2ℓ; and the Hannan-Quinn criterion HQIC = 2k ln(ln(n)) − 2ℓ, where k is the number of parameters (Akaike, 1974; Schwarz, 1978; </w:t>
      </w:r>
      <w:proofErr w:type="spellStart"/>
      <w:r>
        <w:rPr>
          <w:color w:val="000000"/>
        </w:rPr>
        <w:t>Hurvich</w:t>
      </w:r>
      <w:proofErr w:type="spellEnd"/>
      <w:r>
        <w:rPr>
          <w:color w:val="000000"/>
        </w:rPr>
        <w:t xml:space="preserve"> &amp; Tsai, 1989).</w:t>
      </w:r>
    </w:p>
    <w:p w14:paraId="6201A18C" w14:textId="77777777" w:rsidR="00C93607" w:rsidRDefault="00000000">
      <w:pPr>
        <w:spacing w:before="60" w:after="60" w:line="360" w:lineRule="auto"/>
        <w:jc w:val="both"/>
      </w:pPr>
      <w:r>
        <w:rPr>
          <w:color w:val="000000"/>
        </w:rPr>
        <w:t xml:space="preserve">Akaike weights were computed as </w:t>
      </w:r>
      <w:proofErr w:type="spellStart"/>
      <w:r>
        <w:rPr>
          <w:color w:val="000000"/>
        </w:rPr>
        <w:t>w_i</w:t>
      </w:r>
      <w:proofErr w:type="spellEnd"/>
      <w:r>
        <w:rPr>
          <w:color w:val="000000"/>
        </w:rPr>
        <w:t xml:space="preserve"> = exp(−</w:t>
      </w:r>
      <w:proofErr w:type="spellStart"/>
      <w:r>
        <w:rPr>
          <w:color w:val="000000"/>
        </w:rPr>
        <w:t>ΔAICc_i</w:t>
      </w:r>
      <w:proofErr w:type="spellEnd"/>
      <w:r>
        <w:rPr>
          <w:color w:val="000000"/>
        </w:rPr>
        <w:t xml:space="preserve">/2) / </w:t>
      </w:r>
      <w:proofErr w:type="spellStart"/>
      <w:r>
        <w:rPr>
          <w:color w:val="000000"/>
        </w:rPr>
        <w:t>Σ_j</w:t>
      </w:r>
      <w:proofErr w:type="spellEnd"/>
      <w:r>
        <w:rPr>
          <w:color w:val="000000"/>
        </w:rPr>
        <w:t xml:space="preserve"> exp(−</w:t>
      </w:r>
      <w:proofErr w:type="spellStart"/>
      <w:r>
        <w:rPr>
          <w:color w:val="000000"/>
        </w:rPr>
        <w:t>ΔAICc_j</w:t>
      </w:r>
      <w:proofErr w:type="spellEnd"/>
      <w:r>
        <w:rPr>
          <w:color w:val="000000"/>
        </w:rPr>
        <w:t xml:space="preserve">/2), where </w:t>
      </w:r>
      <w:proofErr w:type="spellStart"/>
      <w:r>
        <w:rPr>
          <w:color w:val="000000"/>
        </w:rPr>
        <w:t>ΔAICc_i</w:t>
      </w:r>
      <w:proofErr w:type="spellEnd"/>
      <w:r>
        <w:rPr>
          <w:color w:val="000000"/>
        </w:rPr>
        <w:t xml:space="preserve"> is the difference between distribution i's </w:t>
      </w:r>
      <w:proofErr w:type="spellStart"/>
      <w:r>
        <w:rPr>
          <w:color w:val="000000"/>
        </w:rPr>
        <w:t>AICc</w:t>
      </w:r>
      <w:proofErr w:type="spellEnd"/>
      <w:r>
        <w:rPr>
          <w:color w:val="000000"/>
        </w:rPr>
        <w:t xml:space="preserve"> and the minimum </w:t>
      </w:r>
      <w:proofErr w:type="spellStart"/>
      <w:r>
        <w:rPr>
          <w:color w:val="000000"/>
        </w:rPr>
        <w:t>AICc</w:t>
      </w:r>
      <w:proofErr w:type="spellEnd"/>
      <w:r>
        <w:rPr>
          <w:color w:val="000000"/>
        </w:rPr>
        <w:t xml:space="preserve"> across all candidates. These weights sum to 1.0 and can be interpreted as the probability that each distribution is the true best model given the data and the candidate set (Burnham &amp; Anderson, 2002). A distribution with weight close to 1.0 has overwhelming support; weights less than 0.001 indicate distributions that are essentially inconsistent with the data relative to the best model.</w:t>
      </w:r>
    </w:p>
    <w:p w14:paraId="739F65C7" w14:textId="77777777" w:rsidR="00C93607" w:rsidRDefault="00000000">
      <w:pPr>
        <w:pStyle w:val="Heading2"/>
      </w:pPr>
      <w:r>
        <w:rPr>
          <w:color w:val="1A6B5A"/>
        </w:rPr>
        <w:t>4.4  Step 4: Design Flood Estimation and Uncertainty Quantification</w:t>
      </w:r>
    </w:p>
    <w:p w14:paraId="45106F0A" w14:textId="77777777" w:rsidR="00C93607" w:rsidRDefault="00000000">
      <w:pPr>
        <w:pStyle w:val="Heading3"/>
      </w:pPr>
      <w:r>
        <w:rPr>
          <w:color w:val="334455"/>
        </w:rPr>
        <w:t>4.4.1  Gumbel Frequency Factor Method (CWC Standard)</w:t>
      </w:r>
    </w:p>
    <w:p w14:paraId="2280B444" w14:textId="77777777" w:rsidR="00C93607" w:rsidRDefault="00000000">
      <w:pPr>
        <w:spacing w:before="60" w:after="60" w:line="360" w:lineRule="auto"/>
        <w:jc w:val="both"/>
      </w:pPr>
      <w:r>
        <w:rPr>
          <w:color w:val="000000"/>
        </w:rPr>
        <w:t>For the Gumbel distribution, design flood quantiles for return period T are computed using the frequency factor approach (Chow, 1951):</w:t>
      </w:r>
    </w:p>
    <w:p w14:paraId="3E90622E" w14:textId="77777777" w:rsidR="00C93607" w:rsidRDefault="00000000">
      <w:pPr>
        <w:spacing w:before="120" w:after="120"/>
        <w:jc w:val="center"/>
      </w:pPr>
      <w:r>
        <w:rPr>
          <w:rFonts w:ascii="Courier New" w:eastAsia="Courier New" w:hAnsi="Courier New" w:cs="Courier New"/>
          <w:i/>
          <w:iCs/>
          <w:sz w:val="22"/>
          <w:szCs w:val="22"/>
        </w:rPr>
        <w:t xml:space="preserve">    Q(T) = μ̄ + K_T × s</w:t>
      </w:r>
      <w:r>
        <w:rPr>
          <w:i/>
          <w:iCs/>
          <w:color w:val="555555"/>
          <w:sz w:val="20"/>
          <w:szCs w:val="20"/>
        </w:rPr>
        <w:t xml:space="preserve">  ...(Eq. 2)</w:t>
      </w:r>
    </w:p>
    <w:p w14:paraId="44135182" w14:textId="77777777" w:rsidR="00C93607" w:rsidRDefault="00000000">
      <w:pPr>
        <w:spacing w:before="60" w:after="60" w:line="360" w:lineRule="auto"/>
        <w:jc w:val="both"/>
        <w:rPr>
          <w:color w:val="000000"/>
        </w:rPr>
      </w:pPr>
      <w:r>
        <w:rPr>
          <w:color w:val="000000"/>
        </w:rPr>
        <w:t>where K_T = (</w:t>
      </w:r>
      <w:proofErr w:type="spellStart"/>
      <w:r>
        <w:rPr>
          <w:color w:val="000000"/>
        </w:rPr>
        <w:t>y_T</w:t>
      </w:r>
      <w:proofErr w:type="spellEnd"/>
      <w:r>
        <w:rPr>
          <w:color w:val="000000"/>
        </w:rPr>
        <w:t xml:space="preserve"> − </w:t>
      </w:r>
      <w:proofErr w:type="spellStart"/>
      <w:r>
        <w:rPr>
          <w:color w:val="000000"/>
        </w:rPr>
        <w:t>ȳ_n</w:t>
      </w:r>
      <w:proofErr w:type="spellEnd"/>
      <w:r>
        <w:rPr>
          <w:color w:val="000000"/>
        </w:rPr>
        <w:t xml:space="preserve">) / </w:t>
      </w:r>
      <w:proofErr w:type="spellStart"/>
      <w:r>
        <w:rPr>
          <w:color w:val="000000"/>
        </w:rPr>
        <w:t>σ_n</w:t>
      </w:r>
      <w:proofErr w:type="spellEnd"/>
      <w:r>
        <w:rPr>
          <w:color w:val="000000"/>
        </w:rPr>
        <w:t xml:space="preserve"> is the Gumbel frequency factor, </w:t>
      </w:r>
      <w:proofErr w:type="spellStart"/>
      <w:r>
        <w:rPr>
          <w:color w:val="000000"/>
        </w:rPr>
        <w:t>y_T</w:t>
      </w:r>
      <w:proofErr w:type="spellEnd"/>
      <w:r>
        <w:rPr>
          <w:color w:val="000000"/>
        </w:rPr>
        <w:t xml:space="preserve"> = −ln(−ln(1 − 1/T)) is the Gumbel reduced variate, and </w:t>
      </w:r>
      <w:proofErr w:type="spellStart"/>
      <w:r>
        <w:rPr>
          <w:color w:val="000000"/>
        </w:rPr>
        <w:t>ȳ_n</w:t>
      </w:r>
      <w:proofErr w:type="spellEnd"/>
      <w:r>
        <w:rPr>
          <w:color w:val="000000"/>
        </w:rPr>
        <w:t xml:space="preserve"> and </w:t>
      </w:r>
      <w:proofErr w:type="spellStart"/>
      <w:r>
        <w:rPr>
          <w:color w:val="000000"/>
        </w:rPr>
        <w:t>σ_n</w:t>
      </w:r>
      <w:proofErr w:type="spellEnd"/>
      <w:r>
        <w:rPr>
          <w:color w:val="000000"/>
        </w:rPr>
        <w:t xml:space="preserve"> are the expected value and standard deviation of the reduced variate for a sample of size n (tabulated in Gumbel, 1958). This is exactly the method specified in CWC IS 11223:1985.</w:t>
      </w:r>
    </w:p>
    <w:p w14:paraId="0D53ECC8" w14:textId="77777777" w:rsidR="002E6DBF" w:rsidRDefault="002E6DBF">
      <w:pPr>
        <w:spacing w:before="60" w:after="60" w:line="360" w:lineRule="auto"/>
        <w:jc w:val="both"/>
      </w:pPr>
    </w:p>
    <w:p w14:paraId="342AB70D" w14:textId="77777777" w:rsidR="00C93607" w:rsidRDefault="00000000">
      <w:pPr>
        <w:pStyle w:val="Heading3"/>
      </w:pPr>
      <w:r>
        <w:rPr>
          <w:color w:val="334455"/>
        </w:rPr>
        <w:t>4.4.2  Wilson-Hilferty Approximation for LP3 and P3</w:t>
      </w:r>
    </w:p>
    <w:p w14:paraId="65BD4ADB" w14:textId="77777777" w:rsidR="00C93607" w:rsidRDefault="00000000">
      <w:pPr>
        <w:spacing w:before="60" w:after="60" w:line="360" w:lineRule="auto"/>
        <w:jc w:val="both"/>
      </w:pPr>
      <w:r>
        <w:rPr>
          <w:color w:val="000000"/>
        </w:rPr>
        <w:t>For the Log-Pearson Type III and Pearson III distributions, the Wilson-Hilferty (1931) frequency factor approximation, adopted in Bulletin 17C (2019) and IS 11223:1985, is used:</w:t>
      </w:r>
    </w:p>
    <w:p w14:paraId="29EDAB4C" w14:textId="77777777" w:rsidR="00C93607" w:rsidRDefault="00000000">
      <w:pPr>
        <w:spacing w:before="120" w:after="120"/>
        <w:jc w:val="center"/>
      </w:pPr>
      <w:r>
        <w:rPr>
          <w:rFonts w:ascii="Courier New" w:eastAsia="Courier New" w:hAnsi="Courier New" w:cs="Courier New"/>
          <w:i/>
          <w:iCs/>
          <w:sz w:val="22"/>
          <w:szCs w:val="22"/>
        </w:rPr>
        <w:t xml:space="preserve">    K(T) = z + (z²−1)Cs/6 + (z³−6z)Cs²/36 − (z²−1)Cs³/216 + </w:t>
      </w:r>
      <w:proofErr w:type="spellStart"/>
      <w:r>
        <w:rPr>
          <w:rFonts w:ascii="Courier New" w:eastAsia="Courier New" w:hAnsi="Courier New" w:cs="Courier New"/>
          <w:i/>
          <w:iCs/>
          <w:sz w:val="22"/>
          <w:szCs w:val="22"/>
        </w:rPr>
        <w:t>zCs</w:t>
      </w:r>
      <w:proofErr w:type="spellEnd"/>
      <w:r>
        <w:rPr>
          <w:rFonts w:ascii="Courier New" w:eastAsia="Courier New" w:hAnsi="Courier New" w:cs="Courier New"/>
          <w:i/>
          <w:iCs/>
          <w:sz w:val="22"/>
          <w:szCs w:val="22"/>
        </w:rPr>
        <w:t>⁴/288</w:t>
      </w:r>
      <w:r>
        <w:rPr>
          <w:i/>
          <w:iCs/>
          <w:color w:val="555555"/>
          <w:sz w:val="20"/>
          <w:szCs w:val="20"/>
        </w:rPr>
        <w:t xml:space="preserve">  ...(Eq. 3)</w:t>
      </w:r>
    </w:p>
    <w:p w14:paraId="1DD14021" w14:textId="77777777" w:rsidR="00C93607" w:rsidRDefault="00000000">
      <w:pPr>
        <w:spacing w:before="60" w:after="60" w:line="360" w:lineRule="auto"/>
        <w:jc w:val="both"/>
      </w:pPr>
      <w:r>
        <w:rPr>
          <w:color w:val="000000"/>
        </w:rPr>
        <w:t>where z = Φ⁻¹(1 − 1/T) is the standard normal deviate and Cs is the coefficient of skewness (of log(Q) for LP3, raw Q for P3).</w:t>
      </w:r>
    </w:p>
    <w:p w14:paraId="7F95EA55" w14:textId="77777777" w:rsidR="00C93607" w:rsidRDefault="00000000">
      <w:pPr>
        <w:pStyle w:val="Heading3"/>
      </w:pPr>
      <w:r>
        <w:rPr>
          <w:color w:val="334455"/>
        </w:rPr>
        <w:t>4.4.3  Bootstrap Confidence Intervals</w:t>
      </w:r>
    </w:p>
    <w:p w14:paraId="354BAF7F" w14:textId="77777777" w:rsidR="00C93607" w:rsidRDefault="00000000">
      <w:pPr>
        <w:spacing w:before="60" w:after="60" w:line="360" w:lineRule="auto"/>
        <w:jc w:val="both"/>
      </w:pPr>
      <w:r>
        <w:rPr>
          <w:color w:val="000000"/>
        </w:rPr>
        <w:t>Bootstrap 95% confidence intervals for each design flood quantile were constructed by generating B = 2,000 bootstrap resamples of the 57-year record (sampling with replacement), re-fitting the Gumbel distribution to each resample by MLE, computing the corresponding quantile, and taking the 2.5th and 97.5th percentiles of the resulting empirical distribution. This procedure makes no parametric assumptions about the distribution of the quantile estimator and captures sampling variability in both the location and scale parameters simultaneously.</w:t>
      </w:r>
    </w:p>
    <w:p w14:paraId="33987547" w14:textId="77777777" w:rsidR="00C93607" w:rsidRDefault="00000000">
      <w:pPr>
        <w:pStyle w:val="Heading3"/>
      </w:pPr>
      <w:r>
        <w:rPr>
          <w:color w:val="334455"/>
        </w:rPr>
        <w:t>4.4.4  Monte Carlo Simulation</w:t>
      </w:r>
    </w:p>
    <w:p w14:paraId="7AD7EBF9" w14:textId="77777777" w:rsidR="00C93607" w:rsidRDefault="00000000">
      <w:pPr>
        <w:spacing w:before="60" w:after="60" w:line="360" w:lineRule="auto"/>
        <w:jc w:val="both"/>
      </w:pPr>
      <w:r>
        <w:rPr>
          <w:color w:val="000000"/>
        </w:rPr>
        <w:t>Monte Carlo simulation was carried out using M = 10,000 replicates. For each replicate, a 57-year synthetic record was generated from the fitted Gumbel distribution, parameters were re-estimated by MLE, and design flood quantiles were stored. The resulting empirical distribution of each quantile (expressed as mean, median, 5th and 95th percentiles, and CV) quantifies the combined effect of model choice and sampling variability.</w:t>
      </w:r>
    </w:p>
    <w:p w14:paraId="48849EBA" w14:textId="77777777" w:rsidR="00C93607" w:rsidRDefault="00000000">
      <w:pPr>
        <w:pStyle w:val="Heading3"/>
      </w:pPr>
      <w:r>
        <w:rPr>
          <w:color w:val="334455"/>
        </w:rPr>
        <w:t>4.4.5  Bayesian MCMC Inference</w:t>
      </w:r>
    </w:p>
    <w:p w14:paraId="22CA155F" w14:textId="77777777" w:rsidR="00C93607" w:rsidRDefault="00000000">
      <w:pPr>
        <w:spacing w:before="60" w:after="60" w:line="360" w:lineRule="auto"/>
        <w:jc w:val="both"/>
        <w:rPr>
          <w:color w:val="000000"/>
        </w:rPr>
      </w:pPr>
      <w:r>
        <w:rPr>
          <w:color w:val="000000"/>
        </w:rPr>
        <w:t xml:space="preserve">Bayesian inference was implemented for the Gumbel distribution using a Metropolis-Hastings MCMC algorithm (Metropolis et al., 1953) with 12,000 iterations (3,000 burn-in). Weakly informative priors were assigned: scale parameter α ~ </w:t>
      </w:r>
      <w:proofErr w:type="spellStart"/>
      <w:r>
        <w:rPr>
          <w:color w:val="000000"/>
        </w:rPr>
        <w:t>HalfNormal</w:t>
      </w:r>
      <w:proofErr w:type="spellEnd"/>
      <w:r>
        <w:rPr>
          <w:color w:val="000000"/>
        </w:rPr>
        <w:t>(0, 3000) and location parameter u ~ Normal(2500, 3000), both reflecting plausible hydrological ranges without strongly constraining the posterior. The posterior predictive distribution of each design flood quantile was obtained by propagating all accepted MCMC samples through the Gumbel quantile function, yielding 95% credible intervals that incorporate both parameter uncertainty and prior uncertainty.</w:t>
      </w:r>
    </w:p>
    <w:p w14:paraId="4DA84421" w14:textId="77777777" w:rsidR="002E6DBF" w:rsidRDefault="002E6DBF">
      <w:pPr>
        <w:spacing w:before="60" w:after="60" w:line="360" w:lineRule="auto"/>
        <w:jc w:val="both"/>
        <w:rPr>
          <w:color w:val="000000"/>
        </w:rPr>
      </w:pPr>
    </w:p>
    <w:p w14:paraId="043EF7E2" w14:textId="77777777" w:rsidR="002E6DBF" w:rsidRDefault="002E6DBF">
      <w:pPr>
        <w:spacing w:before="60" w:after="60" w:line="360" w:lineRule="auto"/>
        <w:jc w:val="both"/>
      </w:pPr>
    </w:p>
    <w:p w14:paraId="3DA2A226" w14:textId="77777777" w:rsidR="00C93607" w:rsidRDefault="00000000">
      <w:pPr>
        <w:pStyle w:val="Heading2"/>
      </w:pPr>
      <w:r>
        <w:rPr>
          <w:color w:val="1A6B5A"/>
        </w:rPr>
        <w:t>4.5  Step 5: Peaks-Over-Threshold / Generalised Pareto Distribution</w:t>
      </w:r>
    </w:p>
    <w:p w14:paraId="23334DF8" w14:textId="77777777" w:rsidR="00C93607" w:rsidRDefault="00000000">
      <w:pPr>
        <w:spacing w:before="60" w:after="60" w:line="360" w:lineRule="auto"/>
        <w:jc w:val="both"/>
      </w:pPr>
      <w:r>
        <w:rPr>
          <w:color w:val="000000"/>
        </w:rPr>
        <w:t xml:space="preserve">The POT approach is fundamentally different from the Annual Maximum Series approach in that it uses all flood events exceeding a chosen threshold u, rather than only the single largest event in each year. This makes more efficient use of information in the record. The theoretical framework (Balkema &amp; de Haan, 1974; </w:t>
      </w:r>
      <w:proofErr w:type="spellStart"/>
      <w:r>
        <w:rPr>
          <w:color w:val="000000"/>
        </w:rPr>
        <w:t>Pickands</w:t>
      </w:r>
      <w:proofErr w:type="spellEnd"/>
      <w:r>
        <w:rPr>
          <w:color w:val="000000"/>
        </w:rPr>
        <w:t>, 1975) shows that for a sufficiently high threshold, the distribution of exceedances (X − u | X &gt; u) converges to the Generalised Pareto Distribution:</w:t>
      </w:r>
    </w:p>
    <w:p w14:paraId="0242E57C" w14:textId="77777777" w:rsidR="00C93607" w:rsidRDefault="00000000">
      <w:pPr>
        <w:spacing w:before="120" w:after="120"/>
        <w:jc w:val="center"/>
      </w:pPr>
      <w:r>
        <w:rPr>
          <w:rFonts w:ascii="Courier New" w:eastAsia="Courier New" w:hAnsi="Courier New" w:cs="Courier New"/>
          <w:i/>
          <w:iCs/>
          <w:sz w:val="22"/>
          <w:szCs w:val="22"/>
        </w:rPr>
        <w:t xml:space="preserve">    F(x; ξ, σ) = 1 − [1 + ξ(x − u)/σ]^(−1/ξ)   for  x &gt; u,  ξ ≠ 0</w:t>
      </w:r>
      <w:r>
        <w:rPr>
          <w:i/>
          <w:iCs/>
          <w:color w:val="555555"/>
          <w:sz w:val="20"/>
          <w:szCs w:val="20"/>
        </w:rPr>
        <w:t xml:space="preserve">  ...(Eq. 4)</w:t>
      </w:r>
    </w:p>
    <w:p w14:paraId="5B6A76F9" w14:textId="77777777" w:rsidR="00C93607" w:rsidRDefault="00000000">
      <w:pPr>
        <w:spacing w:before="60" w:after="60" w:line="360" w:lineRule="auto"/>
        <w:jc w:val="both"/>
      </w:pPr>
      <w:r>
        <w:rPr>
          <w:color w:val="000000"/>
        </w:rPr>
        <w:t>where ξ is the shape parameter and σ is the scale parameter. When ξ &lt; 0, the distribution has a bounded upper tail; ξ = 0 gives exponential decay; ξ &gt; 0 gives a heavy Pareto-type tail. The optimal threshold u was selected using the Mean Residual Life (MRL) plot, which shows E[X − u | X &gt; u] as a function of u. The MRL function should be approximately linear above the true threshold. Threshold stability was confirmed by plotting ξ̂(u) as a function of u across a range of candidate thresholds; a stable shape parameter across a wide range of thresholds indicates robust threshold selection.</w:t>
      </w:r>
    </w:p>
    <w:p w14:paraId="1E631FC1" w14:textId="77777777" w:rsidR="00C93607" w:rsidRDefault="00000000">
      <w:pPr>
        <w:pStyle w:val="Heading2"/>
      </w:pPr>
      <w:r>
        <w:rPr>
          <w:color w:val="1A6B5A"/>
        </w:rPr>
        <w:t>4.6  Step 6: Machine Learning Analysis</w:t>
      </w:r>
    </w:p>
    <w:p w14:paraId="5BC5EBCE" w14:textId="77777777" w:rsidR="00C93607" w:rsidRDefault="00000000">
      <w:pPr>
        <w:spacing w:before="60" w:after="60" w:line="360" w:lineRule="auto"/>
        <w:jc w:val="both"/>
      </w:pPr>
      <w:r>
        <w:rPr>
          <w:color w:val="000000"/>
        </w:rPr>
        <w:t>Thirteen features were engineered from the annual maximum discharge record and peak stage data: one-, two- and three-year lagged peak discharges (lag₁, lag₂, lag₃); 5-year and 10-year rolling mean and standard deviation; 10-year rolling CV; normalised calendar year (to capture any slow temporal trends); day-of-year of peak occurrence; peak water level; normalised empirical rank; log of lag-1 discharge; and the 5-year discharge anomaly relative to rolling mean. All features were standardised to zero mean and unit variance before modelling. Five models were trained: Random Forest (RF, n = 500 trees), Gradient Boosting Machine (GBM, 300 trees), Support Vector Regression (SVR, RBF kernel), Multilayer Perceptron neural network (MLP, 3 hidden layers), and Gaussian Process Regression (GPR, Matérn-3/2 kernel). Performance was evaluated using training R², 5-fold cross-validated R², RMSE and MAE. Feature importance was extracted from the Random Forest using mean decrease in node impurity.</w:t>
      </w:r>
    </w:p>
    <w:p w14:paraId="52F41C9F" w14:textId="77777777" w:rsidR="00C93607" w:rsidRDefault="00000000">
      <w:r>
        <w:br w:type="page"/>
      </w:r>
    </w:p>
    <w:p w14:paraId="79FAD0FB" w14:textId="77777777" w:rsidR="00C93607" w:rsidRDefault="00000000">
      <w:pPr>
        <w:pStyle w:val="Heading1"/>
        <w:pBdr>
          <w:bottom w:val="single" w:sz="8" w:space="6" w:color="1B3A6B"/>
        </w:pBdr>
      </w:pPr>
      <w:r>
        <w:rPr>
          <w:color w:val="1B3A6B"/>
        </w:rPr>
        <w:t>5. Results and Discussion</w:t>
      </w:r>
    </w:p>
    <w:p w14:paraId="2630297E" w14:textId="77777777" w:rsidR="00C93607" w:rsidRDefault="00000000">
      <w:pPr>
        <w:pStyle w:val="Heading2"/>
      </w:pPr>
      <w:r>
        <w:rPr>
          <w:color w:val="1A6B5A"/>
        </w:rPr>
        <w:t>5.1  Assumption Verification (Objective 1)</w:t>
      </w:r>
    </w:p>
    <w:p w14:paraId="20B48770" w14:textId="77777777" w:rsidR="00C93607" w:rsidRDefault="00000000">
      <w:pPr>
        <w:pStyle w:val="Heading3"/>
      </w:pPr>
      <w:r>
        <w:rPr>
          <w:color w:val="334455"/>
        </w:rPr>
        <w:t>5.1.1  The Series is Non-Normal, as Expected</w:t>
      </w:r>
    </w:p>
    <w:p w14:paraId="48BCA429" w14:textId="77777777" w:rsidR="00C93607" w:rsidRDefault="00000000">
      <w:pPr>
        <w:spacing w:before="60" w:after="60" w:line="360" w:lineRule="auto"/>
        <w:jc w:val="both"/>
      </w:pPr>
      <w:r>
        <w:rPr>
          <w:color w:val="000000"/>
        </w:rPr>
        <w:t>Table 2 presents the results of all six normality tests. Four of the six tests — Shapiro-Wilk, D'Agostino-Pearson, Jarque-Bera and Anderson-Darling — rejected normality at the 1% level. The Shapiro-Wilk statistic W = 0.904 with p = 0.000259 provides the most powerful evidence: a value this far below 1.0 indicates a clear departure from the symmetric bell-shaped normal distribution. The Jarque-Bera test decomposes this departure: the coefficient of skewness Cs = 1.082 (significantly positive, confirming a long right tail) and the excess kurtosis Ck = 0.468 (slightly heavier-tailed than normal) together produce a significant JB statistic of 11.06 (p = 0.004).</w:t>
      </w:r>
    </w:p>
    <w:p w14:paraId="07F295E2" w14:textId="77777777" w:rsidR="00C93607" w:rsidRDefault="00000000">
      <w:pPr>
        <w:spacing w:before="160" w:after="60"/>
      </w:pPr>
      <w:r>
        <w:rPr>
          <w:rFonts w:ascii="Arial" w:eastAsia="Arial" w:hAnsi="Arial" w:cs="Arial"/>
          <w:b/>
          <w:bCs/>
          <w:color w:val="1B3A6B"/>
          <w:sz w:val="20"/>
          <w:szCs w:val="20"/>
        </w:rPr>
        <w:t>Table 2. Normality test results for Karad annual peak discharge series (N = 57)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1500"/>
        <w:gridCol w:w="2460"/>
      </w:tblGrid>
      <w:tr w:rsidR="00C93607" w14:paraId="2EE4EC5D"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06CC28B" w14:textId="77777777" w:rsidR="00C93607" w:rsidRDefault="00000000">
            <w:pPr>
              <w:jc w:val="center"/>
            </w:pPr>
            <w:r>
              <w:rPr>
                <w:rFonts w:ascii="Arial" w:eastAsia="Arial" w:hAnsi="Arial" w:cs="Arial"/>
                <w:b/>
                <w:bCs/>
                <w:color w:val="FFFFFF"/>
                <w:sz w:val="19"/>
                <w:szCs w:val="19"/>
              </w:rPr>
              <w:t>Test</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76FEDE4" w14:textId="77777777" w:rsidR="00C93607" w:rsidRDefault="00000000">
            <w:pPr>
              <w:jc w:val="center"/>
            </w:pPr>
            <w:r>
              <w:rPr>
                <w:rFonts w:ascii="Arial" w:eastAsia="Arial" w:hAnsi="Arial" w:cs="Arial"/>
                <w:b/>
                <w:bCs/>
                <w:color w:val="FFFFFF"/>
                <w:sz w:val="19"/>
                <w:szCs w:val="19"/>
              </w:rPr>
              <w:t>Statistic</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C0621CA" w14:textId="77777777" w:rsidR="00C93607" w:rsidRDefault="00000000">
            <w:pPr>
              <w:jc w:val="center"/>
            </w:pPr>
            <w:r>
              <w:rPr>
                <w:rFonts w:ascii="Arial" w:eastAsia="Arial" w:hAnsi="Arial" w:cs="Arial"/>
                <w:b/>
                <w:bCs/>
                <w:color w:val="FFFFFF"/>
                <w:sz w:val="19"/>
                <w:szCs w:val="19"/>
              </w:rPr>
              <w:t>p-value</w:t>
            </w:r>
          </w:p>
        </w:tc>
        <w:tc>
          <w:tcPr>
            <w:tcW w:w="15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24B1F25" w14:textId="77777777" w:rsidR="00C93607" w:rsidRDefault="00000000">
            <w:pPr>
              <w:jc w:val="center"/>
            </w:pPr>
            <w:r>
              <w:rPr>
                <w:rFonts w:ascii="Arial" w:eastAsia="Arial" w:hAnsi="Arial" w:cs="Arial"/>
                <w:b/>
                <w:bCs/>
                <w:color w:val="FFFFFF"/>
                <w:sz w:val="19"/>
                <w:szCs w:val="19"/>
              </w:rPr>
              <w:t>H₀ Rejected?</w:t>
            </w:r>
          </w:p>
        </w:tc>
        <w:tc>
          <w:tcPr>
            <w:tcW w:w="24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6F6A356" w14:textId="77777777" w:rsidR="00C93607" w:rsidRDefault="00000000">
            <w:pPr>
              <w:jc w:val="center"/>
            </w:pPr>
            <w:r>
              <w:rPr>
                <w:rFonts w:ascii="Arial" w:eastAsia="Arial" w:hAnsi="Arial" w:cs="Arial"/>
                <w:b/>
                <w:bCs/>
                <w:color w:val="FFFFFF"/>
                <w:sz w:val="19"/>
                <w:szCs w:val="19"/>
              </w:rPr>
              <w:t>Physical interpretation</w:t>
            </w:r>
          </w:p>
        </w:tc>
      </w:tr>
      <w:tr w:rsidR="00C93607" w14:paraId="4C0F9E6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F4C88A0" w14:textId="77777777" w:rsidR="00C93607" w:rsidRDefault="00000000">
            <w:r>
              <w:rPr>
                <w:sz w:val="19"/>
                <w:szCs w:val="19"/>
              </w:rPr>
              <w:t>Shapiro-Wilk</w:t>
            </w:r>
          </w:p>
        </w:tc>
        <w:tc>
          <w:tcPr>
            <w:tcW w:w="1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622179F" w14:textId="77777777" w:rsidR="00C93607" w:rsidRDefault="00000000">
            <w:pPr>
              <w:jc w:val="center"/>
            </w:pPr>
            <w:r>
              <w:rPr>
                <w:sz w:val="19"/>
                <w:szCs w:val="19"/>
              </w:rPr>
              <w:t>W = 0.9036</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4F1231F" w14:textId="77777777" w:rsidR="00C93607" w:rsidRDefault="00000000">
            <w:pPr>
              <w:jc w:val="center"/>
            </w:pPr>
            <w:r>
              <w:rPr>
                <w:sz w:val="19"/>
                <w:szCs w:val="19"/>
              </w:rPr>
              <w:t>0.000259</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1DD5FD6" w14:textId="77777777" w:rsidR="00C93607" w:rsidRDefault="00000000">
            <w:pPr>
              <w:jc w:val="center"/>
            </w:pPr>
            <w:r>
              <w:rPr>
                <w:sz w:val="19"/>
                <w:szCs w:val="19"/>
              </w:rPr>
              <w:t>YES (1% level)</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4B26D16" w14:textId="77777777" w:rsidR="00C93607" w:rsidRDefault="00000000">
            <w:pPr>
              <w:jc w:val="center"/>
            </w:pPr>
            <w:r>
              <w:rPr>
                <w:sz w:val="19"/>
                <w:szCs w:val="19"/>
              </w:rPr>
              <w:t>Clear non-normality</w:t>
            </w:r>
          </w:p>
        </w:tc>
      </w:tr>
      <w:tr w:rsidR="00C93607" w14:paraId="16F9B8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3C1B0D" w14:textId="77777777" w:rsidR="00C93607" w:rsidRDefault="00000000">
            <w:r>
              <w:rPr>
                <w:sz w:val="19"/>
                <w:szCs w:val="19"/>
              </w:rPr>
              <w:t>D'Agostino-Pearson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E68875" w14:textId="77777777" w:rsidR="00C93607" w:rsidRDefault="00000000">
            <w:pPr>
              <w:jc w:val="center"/>
            </w:pPr>
            <w:r>
              <w:rPr>
                <w:sz w:val="19"/>
                <w:szCs w:val="19"/>
              </w:rPr>
              <w:t>k² = 10.853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0DB5F6" w14:textId="77777777" w:rsidR="00C93607" w:rsidRDefault="00000000">
            <w:pPr>
              <w:jc w:val="center"/>
            </w:pPr>
            <w:r>
              <w:rPr>
                <w:sz w:val="19"/>
                <w:szCs w:val="19"/>
              </w:rPr>
              <w:t>0.004398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0A86D2" w14:textId="77777777" w:rsidR="00C93607" w:rsidRDefault="00000000">
            <w:pPr>
              <w:jc w:val="center"/>
            </w:pPr>
            <w:r>
              <w:rPr>
                <w:sz w:val="19"/>
                <w:szCs w:val="19"/>
              </w:rPr>
              <w:t>YES (1% level)</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E2E1B5" w14:textId="77777777" w:rsidR="00C93607" w:rsidRDefault="00000000">
            <w:pPr>
              <w:jc w:val="center"/>
            </w:pPr>
            <w:r>
              <w:rPr>
                <w:sz w:val="19"/>
                <w:szCs w:val="19"/>
              </w:rPr>
              <w:t>Driven by skewness</w:t>
            </w:r>
          </w:p>
        </w:tc>
      </w:tr>
      <w:tr w:rsidR="00C93607" w14:paraId="52838A3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51B142E" w14:textId="77777777" w:rsidR="00C93607" w:rsidRDefault="00000000">
            <w:r>
              <w:rPr>
                <w:sz w:val="19"/>
                <w:szCs w:val="19"/>
              </w:rPr>
              <w:t>Jarque-Bera</w:t>
            </w:r>
          </w:p>
        </w:tc>
        <w:tc>
          <w:tcPr>
            <w:tcW w:w="1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AE1D1EB" w14:textId="77777777" w:rsidR="00C93607" w:rsidRDefault="00000000">
            <w:pPr>
              <w:jc w:val="center"/>
            </w:pPr>
            <w:r>
              <w:rPr>
                <w:sz w:val="19"/>
                <w:szCs w:val="19"/>
              </w:rPr>
              <w:t>JB = 11.059</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43F20D4" w14:textId="77777777" w:rsidR="00C93607" w:rsidRDefault="00000000">
            <w:pPr>
              <w:jc w:val="center"/>
            </w:pPr>
            <w:r>
              <w:rPr>
                <w:sz w:val="19"/>
                <w:szCs w:val="19"/>
              </w:rPr>
              <w:t>0.003969</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4DB339E" w14:textId="77777777" w:rsidR="00C93607" w:rsidRDefault="00000000">
            <w:pPr>
              <w:jc w:val="center"/>
            </w:pPr>
            <w:r>
              <w:rPr>
                <w:sz w:val="19"/>
                <w:szCs w:val="19"/>
              </w:rPr>
              <w:t>YES (1% level)</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857FCA2" w14:textId="77777777" w:rsidR="00C93607" w:rsidRDefault="00000000">
            <w:pPr>
              <w:jc w:val="center"/>
            </w:pPr>
            <w:r>
              <w:rPr>
                <w:sz w:val="19"/>
                <w:szCs w:val="19"/>
              </w:rPr>
              <w:t>Cs + Ck both non-zero</w:t>
            </w:r>
          </w:p>
        </w:tc>
      </w:tr>
      <w:tr w:rsidR="00C93607" w14:paraId="51AA6E7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5A8F77" w14:textId="77777777" w:rsidR="00C93607" w:rsidRDefault="00000000">
            <w:r>
              <w:rPr>
                <w:sz w:val="19"/>
                <w:szCs w:val="19"/>
              </w:rPr>
              <w:t>KS vs Normal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3E8B23" w14:textId="77777777" w:rsidR="00C93607" w:rsidRDefault="00000000">
            <w:pPr>
              <w:jc w:val="center"/>
            </w:pPr>
            <w:r>
              <w:rPr>
                <w:sz w:val="19"/>
                <w:szCs w:val="19"/>
              </w:rPr>
              <w:t>D = 0.144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6CC5CA" w14:textId="77777777" w:rsidR="00C93607" w:rsidRDefault="00000000">
            <w:pPr>
              <w:jc w:val="center"/>
            </w:pPr>
            <w:r>
              <w:rPr>
                <w:sz w:val="19"/>
                <w:szCs w:val="19"/>
              </w:rPr>
              <w:t>0.1708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EC8477" w14:textId="77777777" w:rsidR="00C93607" w:rsidRDefault="00000000">
            <w:pPr>
              <w:jc w:val="center"/>
            </w:pPr>
            <w:r>
              <w:rPr>
                <w:sz w:val="19"/>
                <w:szCs w:val="19"/>
              </w:rPr>
              <w:t>NO</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A297E8" w14:textId="77777777" w:rsidR="00C93607" w:rsidRDefault="00000000">
            <w:pPr>
              <w:jc w:val="center"/>
            </w:pPr>
            <w:r>
              <w:rPr>
                <w:sz w:val="19"/>
                <w:szCs w:val="19"/>
              </w:rPr>
              <w:t>Insufficient power for n=57</w:t>
            </w:r>
          </w:p>
        </w:tc>
      </w:tr>
      <w:tr w:rsidR="00C93607" w14:paraId="037A765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25D3E4D" w14:textId="77777777" w:rsidR="00C93607" w:rsidRDefault="00000000">
            <w:r>
              <w:rPr>
                <w:sz w:val="19"/>
                <w:szCs w:val="19"/>
              </w:rPr>
              <w:t>Anderson-Darling</w:t>
            </w:r>
          </w:p>
        </w:tc>
        <w:tc>
          <w:tcPr>
            <w:tcW w:w="1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E2BCCBE" w14:textId="77777777" w:rsidR="00C93607" w:rsidRDefault="00000000">
            <w:pPr>
              <w:jc w:val="center"/>
            </w:pPr>
            <w:r>
              <w:rPr>
                <w:sz w:val="19"/>
                <w:szCs w:val="19"/>
              </w:rPr>
              <w:t>A² = 1.661</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15A546A" w14:textId="77777777" w:rsidR="00C93607" w:rsidRDefault="00000000">
            <w:pPr>
              <w:jc w:val="center"/>
            </w:pPr>
            <w:r>
              <w:rPr>
                <w:sz w:val="19"/>
                <w:szCs w:val="19"/>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165339C" w14:textId="77777777" w:rsidR="00C93607" w:rsidRDefault="00000000">
            <w:pPr>
              <w:jc w:val="center"/>
            </w:pPr>
            <w:r>
              <w:rPr>
                <w:sz w:val="19"/>
                <w:szCs w:val="19"/>
              </w:rPr>
              <w:t>YES (5% level)</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79BDFE" w14:textId="77777777" w:rsidR="00C93607" w:rsidRDefault="00000000">
            <w:pPr>
              <w:jc w:val="center"/>
            </w:pPr>
            <w:r>
              <w:rPr>
                <w:sz w:val="19"/>
                <w:szCs w:val="19"/>
              </w:rPr>
              <w:t>Exceeds critical value 0.741</w:t>
            </w:r>
          </w:p>
        </w:tc>
      </w:tr>
      <w:tr w:rsidR="00C93607" w14:paraId="0543BAC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1AC2DF" w14:textId="77777777" w:rsidR="00C93607" w:rsidRDefault="00000000">
            <w:r>
              <w:rPr>
                <w:sz w:val="19"/>
                <w:szCs w:val="19"/>
              </w:rPr>
              <w:t>KS vs Log-Normal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B2A1A0" w14:textId="77777777" w:rsidR="00C93607" w:rsidRDefault="00000000">
            <w:pPr>
              <w:jc w:val="center"/>
            </w:pPr>
            <w:r>
              <w:rPr>
                <w:sz w:val="19"/>
                <w:szCs w:val="19"/>
              </w:rPr>
              <w:t>D = 0.062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EF754E" w14:textId="77777777" w:rsidR="00C93607" w:rsidRDefault="00000000">
            <w:pPr>
              <w:jc w:val="center"/>
            </w:pPr>
            <w:r>
              <w:rPr>
                <w:sz w:val="19"/>
                <w:szCs w:val="19"/>
              </w:rPr>
              <w:t>0.9695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7406AF" w14:textId="77777777" w:rsidR="00C93607" w:rsidRDefault="00000000">
            <w:pPr>
              <w:jc w:val="center"/>
            </w:pPr>
            <w:r>
              <w:rPr>
                <w:sz w:val="19"/>
                <w:szCs w:val="19"/>
              </w:rPr>
              <w:t>NO</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3116C7" w14:textId="77777777" w:rsidR="00C93607" w:rsidRDefault="00000000">
            <w:pPr>
              <w:jc w:val="center"/>
            </w:pPr>
            <w:r>
              <w:rPr>
                <w:sz w:val="19"/>
                <w:szCs w:val="19"/>
              </w:rPr>
              <w:t>Log-normality plausible</w:t>
            </w:r>
          </w:p>
        </w:tc>
      </w:tr>
    </w:tbl>
    <w:p w14:paraId="1260DAC8" w14:textId="77777777" w:rsidR="00C93607" w:rsidRDefault="00000000">
      <w:pPr>
        <w:spacing w:before="60" w:after="60" w:line="360" w:lineRule="auto"/>
        <w:jc w:val="both"/>
      </w:pPr>
      <w:r>
        <w:rPr>
          <w:color w:val="000000"/>
        </w:rPr>
        <w:t>The KS test against the normal distribution did not reject (p = 0.171), but this is expected: with only 57 observations, the KS test has modest power, and the Anderson-Darling test — which is more sensitive in the tails — confirms non-normality. The critical diagnostic, however, is the final row: the log-space KS test yielded D = 0.062 with p = 0.970, confirming that the log-transformed discharges are indistinguishable from a normal distribution. This near-perfect log-normality in transformed space is the primary justification for applying LP3 and LN2 as the leading candidate distributions.</w:t>
      </w:r>
    </w:p>
    <w:p w14:paraId="28B5DB83" w14:textId="77777777" w:rsidR="00C93607" w:rsidRDefault="00000000">
      <w:pPr>
        <w:spacing w:before="120" w:after="60"/>
        <w:jc w:val="center"/>
      </w:pPr>
      <w:r>
        <w:rPr>
          <w:noProof/>
        </w:rPr>
        <w:drawing>
          <wp:inline distT="0" distB="0" distL="0" distR="0" wp14:anchorId="0718C7C3" wp14:editId="5CB42A6D">
            <wp:extent cx="57150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48075"/>
                    </a:xfrm>
                    <a:prstGeom prst="rect">
                      <a:avLst/>
                    </a:prstGeom>
                  </pic:spPr>
                </pic:pic>
              </a:graphicData>
            </a:graphic>
          </wp:inline>
        </w:drawing>
      </w:r>
    </w:p>
    <w:p w14:paraId="63B2F48C" w14:textId="77777777" w:rsidR="00C93607" w:rsidRDefault="00000000">
      <w:pPr>
        <w:spacing w:before="60" w:after="200"/>
        <w:jc w:val="center"/>
      </w:pPr>
      <w:r>
        <w:rPr>
          <w:rFonts w:ascii="Arial" w:eastAsia="Arial" w:hAnsi="Arial" w:cs="Arial"/>
          <w:i/>
          <w:iCs/>
          <w:color w:val="333333"/>
          <w:sz w:val="19"/>
          <w:szCs w:val="19"/>
        </w:rPr>
        <w:t>Figure 1. Distribution analysis for Karad annual peak discharges: (a) histogram with KDE and fitted PDFs showing the strong right skew; (b) log-space histogram confirming near-normality of ln(Q); (c) empirical vs theoretical CDFs showing close agreement for Gumbel, LN2 and P3 distributions; (d) decade-wise violin plots illustrating inter-decadal variability; (e) box-and-jitter plots by decade; (f) multi-distribution Q-Q plot confirming good fit for all three tested distributions across the body of the distribution.</w:t>
      </w:r>
    </w:p>
    <w:p w14:paraId="635C9565" w14:textId="77777777" w:rsidR="00C93607" w:rsidRDefault="00000000">
      <w:pPr>
        <w:pStyle w:val="Heading3"/>
      </w:pPr>
      <w:r>
        <w:rPr>
          <w:color w:val="334455"/>
        </w:rPr>
        <w:t>5.1.2  The Series is Stationary — The Key Assumption Holds</w:t>
      </w:r>
    </w:p>
    <w:p w14:paraId="71DC2B2A" w14:textId="77777777" w:rsidR="00C93607" w:rsidRDefault="00000000">
      <w:pPr>
        <w:spacing w:before="60" w:after="60" w:line="360" w:lineRule="auto"/>
        <w:jc w:val="both"/>
      </w:pPr>
      <w:r>
        <w:rPr>
          <w:color w:val="000000"/>
        </w:rPr>
        <w:t>The stationarity results are unambiguous and reassuring. The ADF test yielded a statistic of −5.047 with p ≈ 0.000, strongly rejecting the unit root null. Both KPSS tests (level: statistic 0.047, p &gt; 0.10; trend: statistic 0.039, p &gt; 0.10) failed to reject stationarity. The pattern of ADF rejection combined with KPSS acceptance is the most definitive possible evidence for stationarity: both tests independently confirm that the series fluctuates around a stable, trend-free mean.</w:t>
      </w:r>
    </w:p>
    <w:p w14:paraId="2670E48B" w14:textId="77777777" w:rsidR="00C93607" w:rsidRDefault="00000000">
      <w:pPr>
        <w:spacing w:before="60" w:after="60" w:line="360" w:lineRule="auto"/>
        <w:jc w:val="both"/>
      </w:pPr>
      <w:r>
        <w:rPr>
          <w:color w:val="000000"/>
        </w:rPr>
        <w:t>Table 3 shows the trend analysis results. All five methods are in agreement: there is no statistically significant trend in the 57-year record (all p &gt; 0.05). Sen's slope estimate is −12.78 m³/s per year, which extrapolated over the full 57-year record implies a total decrease of approximately 730 m³/s — less than 26% of the mean, and well within the natural sampling variability range defined by the 95% bootstrap interval for the mean ([2,482; 3,259] m³/s). The Pettitt change-point test identified a weak signal near 1997 (p = 0.393), but this is far from significant and likely reflects the well-documented dip in annual monsoon rainfall across the Western Ghats in the late 1990s — a transient climatological phenomenon rather than a permanent shift.</w:t>
      </w:r>
    </w:p>
    <w:p w14:paraId="53FC6CC1" w14:textId="77777777" w:rsidR="00C93607" w:rsidRDefault="00000000">
      <w:pPr>
        <w:spacing w:before="160" w:after="60"/>
      </w:pPr>
      <w:r>
        <w:rPr>
          <w:rFonts w:ascii="Arial" w:eastAsia="Arial" w:hAnsi="Arial" w:cs="Arial"/>
          <w:b/>
          <w:bCs/>
          <w:color w:val="1B3A6B"/>
          <w:sz w:val="20"/>
          <w:szCs w:val="20"/>
        </w:rPr>
        <w:t>Table 3. Trend and stationarity test results for Karad annual peak discharge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100"/>
        <w:gridCol w:w="1400"/>
        <w:gridCol w:w="2460"/>
      </w:tblGrid>
      <w:tr w:rsidR="00C93607" w14:paraId="50BA5608"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5E5142A" w14:textId="77777777" w:rsidR="00C93607" w:rsidRDefault="00000000">
            <w:pPr>
              <w:jc w:val="center"/>
            </w:pPr>
            <w:r>
              <w:rPr>
                <w:rFonts w:ascii="Arial" w:eastAsia="Arial" w:hAnsi="Arial" w:cs="Arial"/>
                <w:b/>
                <w:bCs/>
                <w:color w:val="FFFFFF"/>
                <w:sz w:val="19"/>
                <w:szCs w:val="19"/>
              </w:rPr>
              <w:t>Test</w:t>
            </w:r>
          </w:p>
        </w:tc>
        <w:tc>
          <w:tcPr>
            <w:tcW w:w="1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0433FE4" w14:textId="77777777" w:rsidR="00C93607" w:rsidRDefault="00000000">
            <w:pPr>
              <w:jc w:val="center"/>
            </w:pPr>
            <w:r>
              <w:rPr>
                <w:rFonts w:ascii="Arial" w:eastAsia="Arial" w:hAnsi="Arial" w:cs="Arial"/>
                <w:b/>
                <w:bCs/>
                <w:color w:val="FFFFFF"/>
                <w:sz w:val="19"/>
                <w:szCs w:val="19"/>
              </w:rPr>
              <w:t>Statistic</w:t>
            </w:r>
          </w:p>
        </w:tc>
        <w:tc>
          <w:tcPr>
            <w:tcW w:w="11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EF6BCE1" w14:textId="77777777" w:rsidR="00C93607" w:rsidRDefault="00000000">
            <w:pPr>
              <w:jc w:val="center"/>
            </w:pPr>
            <w:r>
              <w:rPr>
                <w:rFonts w:ascii="Arial" w:eastAsia="Arial" w:hAnsi="Arial" w:cs="Arial"/>
                <w:b/>
                <w:bCs/>
                <w:color w:val="FFFFFF"/>
                <w:sz w:val="19"/>
                <w:szCs w:val="19"/>
              </w:rPr>
              <w:t>p-value</w:t>
            </w:r>
          </w:p>
        </w:tc>
        <w:tc>
          <w:tcPr>
            <w:tcW w:w="14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AB906A3" w14:textId="77777777" w:rsidR="00C93607" w:rsidRDefault="00000000">
            <w:pPr>
              <w:jc w:val="center"/>
            </w:pPr>
            <w:r>
              <w:rPr>
                <w:rFonts w:ascii="Arial" w:eastAsia="Arial" w:hAnsi="Arial" w:cs="Arial"/>
                <w:b/>
                <w:bCs/>
                <w:color w:val="FFFFFF"/>
                <w:sz w:val="19"/>
                <w:szCs w:val="19"/>
              </w:rPr>
              <w:t>Decision</w:t>
            </w:r>
          </w:p>
        </w:tc>
        <w:tc>
          <w:tcPr>
            <w:tcW w:w="24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74081A5" w14:textId="77777777" w:rsidR="00C93607" w:rsidRDefault="00000000">
            <w:pPr>
              <w:jc w:val="center"/>
            </w:pPr>
            <w:r>
              <w:rPr>
                <w:rFonts w:ascii="Arial" w:eastAsia="Arial" w:hAnsi="Arial" w:cs="Arial"/>
                <w:b/>
                <w:bCs/>
                <w:color w:val="FFFFFF"/>
                <w:sz w:val="19"/>
                <w:szCs w:val="19"/>
              </w:rPr>
              <w:t>Comment</w:t>
            </w:r>
          </w:p>
        </w:tc>
      </w:tr>
      <w:tr w:rsidR="00C93607" w14:paraId="5DA294A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7834880" w14:textId="77777777" w:rsidR="00C93607" w:rsidRDefault="00000000">
            <w:r>
              <w:rPr>
                <w:sz w:val="19"/>
                <w:szCs w:val="19"/>
              </w:rPr>
              <w:t>Mann-Kendall (original)</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28116F1" w14:textId="77777777" w:rsidR="00C93607" w:rsidRDefault="00000000">
            <w:pPr>
              <w:jc w:val="center"/>
            </w:pPr>
            <w:r>
              <w:rPr>
                <w:sz w:val="19"/>
                <w:szCs w:val="19"/>
              </w:rPr>
              <w:t>τ = −0.095</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D59D71E" w14:textId="77777777" w:rsidR="00C93607" w:rsidRDefault="00000000">
            <w:pPr>
              <w:jc w:val="center"/>
            </w:pPr>
            <w:r>
              <w:rPr>
                <w:sz w:val="19"/>
                <w:szCs w:val="19"/>
              </w:rPr>
              <w:t>0.299</w:t>
            </w:r>
          </w:p>
        </w:tc>
        <w:tc>
          <w:tcPr>
            <w:tcW w:w="1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A9E8340" w14:textId="77777777" w:rsidR="00C93607" w:rsidRDefault="00000000">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E1DF08F" w14:textId="77777777" w:rsidR="00C93607" w:rsidRDefault="00000000">
            <w:pPr>
              <w:jc w:val="center"/>
            </w:pPr>
            <w:r>
              <w:rPr>
                <w:sz w:val="19"/>
                <w:szCs w:val="19"/>
              </w:rPr>
              <w:t>All p &gt; 0.05</w:t>
            </w:r>
          </w:p>
        </w:tc>
      </w:tr>
      <w:tr w:rsidR="00C93607" w14:paraId="0E72405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2D0044" w14:textId="77777777" w:rsidR="00C93607" w:rsidRDefault="00000000">
            <w:r>
              <w:rPr>
                <w:sz w:val="19"/>
                <w:szCs w:val="19"/>
              </w:rPr>
              <w:t>Mann-Kendall (Hamed-Rao modified)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6FFC61" w14:textId="77777777" w:rsidR="00C93607" w:rsidRDefault="00000000">
            <w:pPr>
              <w:jc w:val="center"/>
            </w:pPr>
            <w:r>
              <w:rPr>
                <w:sz w:val="19"/>
                <w:szCs w:val="19"/>
              </w:rPr>
              <w:t>τ = −0.095</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32009C" w14:textId="77777777" w:rsidR="00C93607" w:rsidRDefault="00000000">
            <w:pPr>
              <w:jc w:val="center"/>
            </w:pPr>
            <w:r>
              <w:rPr>
                <w:sz w:val="19"/>
                <w:szCs w:val="19"/>
              </w:rPr>
              <w:t>0.080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4E45C0" w14:textId="77777777" w:rsidR="00C93607" w:rsidRDefault="00000000">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D6B1DC" w14:textId="77777777" w:rsidR="00C93607" w:rsidRDefault="00000000">
            <w:pPr>
              <w:jc w:val="center"/>
            </w:pPr>
            <w:proofErr w:type="spellStart"/>
            <w:r>
              <w:rPr>
                <w:sz w:val="19"/>
                <w:szCs w:val="19"/>
              </w:rPr>
              <w:t>Autocorr</w:t>
            </w:r>
            <w:proofErr w:type="spellEnd"/>
            <w:r>
              <w:rPr>
                <w:sz w:val="19"/>
                <w:szCs w:val="19"/>
              </w:rPr>
              <w:t>-corrected</w:t>
            </w:r>
          </w:p>
        </w:tc>
      </w:tr>
      <w:tr w:rsidR="00C93607" w14:paraId="59FC017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01AB6A6" w14:textId="77777777" w:rsidR="00C93607" w:rsidRDefault="00000000">
            <w:r>
              <w:rPr>
                <w:sz w:val="19"/>
                <w:szCs w:val="19"/>
              </w:rPr>
              <w:t>Seasonal Mann-Kendall</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BDDD9DE" w14:textId="77777777" w:rsidR="00C93607" w:rsidRDefault="00000000">
            <w:pPr>
              <w:jc w:val="center"/>
            </w:pPr>
            <w:r>
              <w:rPr>
                <w:sz w:val="19"/>
                <w:szCs w:val="19"/>
              </w:rPr>
              <w:t>τ = −0.130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8FBF223" w14:textId="77777777" w:rsidR="00C93607" w:rsidRDefault="00000000">
            <w:pPr>
              <w:jc w:val="center"/>
            </w:pPr>
            <w:r>
              <w:rPr>
                <w:sz w:val="19"/>
                <w:szCs w:val="19"/>
              </w:rPr>
              <w:t>0.327</w:t>
            </w:r>
          </w:p>
        </w:tc>
        <w:tc>
          <w:tcPr>
            <w:tcW w:w="1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4851668" w14:textId="77777777" w:rsidR="00C93607" w:rsidRDefault="00000000">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0B990FD" w14:textId="77777777" w:rsidR="00C93607" w:rsidRDefault="00000000">
            <w:pPr>
              <w:jc w:val="center"/>
            </w:pPr>
            <w:r>
              <w:rPr>
                <w:sz w:val="19"/>
                <w:szCs w:val="19"/>
              </w:rPr>
              <w:t>Seasonal variation removed</w:t>
            </w:r>
          </w:p>
        </w:tc>
      </w:tr>
      <w:tr w:rsidR="00C93607" w14:paraId="3875D04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D11DFA" w14:textId="77777777" w:rsidR="00C93607" w:rsidRDefault="00000000">
            <w:r>
              <w:rPr>
                <w:sz w:val="19"/>
                <w:szCs w:val="19"/>
              </w:rPr>
              <w:t>Spearman rank correlation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77E14D" w14:textId="77777777" w:rsidR="00C93607" w:rsidRDefault="00000000">
            <w:pPr>
              <w:jc w:val="center"/>
            </w:pPr>
            <w:r>
              <w:rPr>
                <w:sz w:val="19"/>
                <w:szCs w:val="19"/>
              </w:rPr>
              <w:t>ρ = −0.160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0B2CE0" w14:textId="77777777" w:rsidR="00C93607" w:rsidRDefault="00000000">
            <w:pPr>
              <w:jc w:val="center"/>
            </w:pPr>
            <w:r>
              <w:rPr>
                <w:sz w:val="19"/>
                <w:szCs w:val="19"/>
              </w:rPr>
              <w:t>0.236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C5686B" w14:textId="77777777" w:rsidR="00C93607" w:rsidRDefault="00000000">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437895" w14:textId="77777777" w:rsidR="00C93607" w:rsidRDefault="00000000">
            <w:pPr>
              <w:jc w:val="center"/>
            </w:pPr>
            <w:r>
              <w:rPr>
                <w:sz w:val="19"/>
                <w:szCs w:val="19"/>
              </w:rPr>
              <w:t>Non-parametric</w:t>
            </w:r>
          </w:p>
        </w:tc>
      </w:tr>
      <w:tr w:rsidR="00C93607" w14:paraId="7BA0756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AC53AFF" w14:textId="77777777" w:rsidR="00C93607" w:rsidRDefault="00000000">
            <w:r>
              <w:rPr>
                <w:sz w:val="19"/>
                <w:szCs w:val="19"/>
              </w:rPr>
              <w:t>Kendall τ with time</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B750961" w14:textId="77777777" w:rsidR="00C93607" w:rsidRDefault="00000000">
            <w:pPr>
              <w:jc w:val="center"/>
            </w:pPr>
            <w:r>
              <w:rPr>
                <w:sz w:val="19"/>
                <w:szCs w:val="19"/>
              </w:rPr>
              <w:t>τ = −0.095</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F57F50" w14:textId="77777777" w:rsidR="00C93607" w:rsidRDefault="00000000">
            <w:pPr>
              <w:jc w:val="center"/>
            </w:pPr>
            <w:r>
              <w:rPr>
                <w:sz w:val="19"/>
                <w:szCs w:val="19"/>
              </w:rPr>
              <w:t>0.295</w:t>
            </w:r>
          </w:p>
        </w:tc>
        <w:tc>
          <w:tcPr>
            <w:tcW w:w="1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C221F4B" w14:textId="77777777" w:rsidR="00C93607" w:rsidRDefault="00000000">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4174435" w14:textId="77777777" w:rsidR="00C93607" w:rsidRDefault="00000000">
            <w:pPr>
              <w:jc w:val="center"/>
            </w:pPr>
            <w:r>
              <w:rPr>
                <w:sz w:val="19"/>
                <w:szCs w:val="19"/>
              </w:rPr>
              <w:t>Consistent with MK</w:t>
            </w:r>
          </w:p>
        </w:tc>
      </w:tr>
      <w:tr w:rsidR="00C93607" w14:paraId="4E66F50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C5BE13" w14:textId="77777777" w:rsidR="00C93607" w:rsidRDefault="00000000">
            <w:r>
              <w:rPr>
                <w:sz w:val="19"/>
                <w:szCs w:val="19"/>
              </w:rPr>
              <w:t>ADF (unit root)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19B2E6" w14:textId="77777777" w:rsidR="00C93607" w:rsidRDefault="00000000">
            <w:pPr>
              <w:jc w:val="center"/>
            </w:pPr>
            <w:r>
              <w:rPr>
                <w:sz w:val="19"/>
                <w:szCs w:val="19"/>
              </w:rPr>
              <w:t>−5.047</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F0ECC8" w14:textId="77777777" w:rsidR="00C93607" w:rsidRDefault="00000000">
            <w:pPr>
              <w:jc w:val="center"/>
            </w:pPr>
            <w:r>
              <w:rPr>
                <w:sz w:val="19"/>
                <w:szCs w:val="19"/>
              </w:rPr>
              <w:t>≈0.000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B89C94" w14:textId="77777777" w:rsidR="00C93607" w:rsidRDefault="00000000">
            <w:pPr>
              <w:jc w:val="center"/>
            </w:pPr>
            <w:r>
              <w:rPr>
                <w:sz w:val="19"/>
                <w:szCs w:val="19"/>
              </w:rPr>
              <w:t>Stationary</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5BD77F" w14:textId="77777777" w:rsidR="00C93607" w:rsidRDefault="00000000">
            <w:pPr>
              <w:jc w:val="center"/>
            </w:pPr>
            <w:r>
              <w:rPr>
                <w:sz w:val="19"/>
                <w:szCs w:val="19"/>
              </w:rPr>
              <w:t>Reject H₀: unit root</w:t>
            </w:r>
          </w:p>
        </w:tc>
      </w:tr>
      <w:tr w:rsidR="00C93607" w14:paraId="30B74C4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ED32233" w14:textId="77777777" w:rsidR="00C93607" w:rsidRDefault="00000000">
            <w:r>
              <w:rPr>
                <w:sz w:val="19"/>
                <w:szCs w:val="19"/>
              </w:rPr>
              <w:t>KPSS (level stationary)</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4D3E6C0" w14:textId="77777777" w:rsidR="00C93607" w:rsidRDefault="00000000">
            <w:pPr>
              <w:jc w:val="center"/>
            </w:pPr>
            <w:r>
              <w:rPr>
                <w:sz w:val="19"/>
                <w:szCs w:val="19"/>
              </w:rPr>
              <w:t>0.047</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04846FE" w14:textId="77777777" w:rsidR="00C93607" w:rsidRDefault="00000000">
            <w:pPr>
              <w:jc w:val="center"/>
            </w:pPr>
            <w:r>
              <w:rPr>
                <w:sz w:val="19"/>
                <w:szCs w:val="19"/>
              </w:rPr>
              <w:t>&gt;0.10</w:t>
            </w:r>
          </w:p>
        </w:tc>
        <w:tc>
          <w:tcPr>
            <w:tcW w:w="1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D83FAF" w14:textId="77777777" w:rsidR="00C93607" w:rsidRDefault="00000000">
            <w:pPr>
              <w:jc w:val="center"/>
            </w:pPr>
            <w:r>
              <w:rPr>
                <w:sz w:val="19"/>
                <w:szCs w:val="19"/>
              </w:rPr>
              <w:t>Stationary</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6100C5F" w14:textId="77777777" w:rsidR="00C93607" w:rsidRDefault="00000000">
            <w:pPr>
              <w:jc w:val="center"/>
            </w:pPr>
            <w:r>
              <w:rPr>
                <w:sz w:val="19"/>
                <w:szCs w:val="19"/>
              </w:rPr>
              <w:t>Fail to reject H₀</w:t>
            </w:r>
          </w:p>
        </w:tc>
      </w:tr>
      <w:tr w:rsidR="00C93607" w14:paraId="1CAC011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67A12" w14:textId="77777777" w:rsidR="00C93607" w:rsidRDefault="00000000">
            <w:r>
              <w:rPr>
                <w:sz w:val="19"/>
                <w:szCs w:val="19"/>
              </w:rPr>
              <w:t>KPSS (trend stationary)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B5A715" w14:textId="77777777" w:rsidR="00C93607" w:rsidRDefault="00000000">
            <w:pPr>
              <w:jc w:val="center"/>
            </w:pPr>
            <w:r>
              <w:rPr>
                <w:sz w:val="19"/>
                <w:szCs w:val="19"/>
              </w:rPr>
              <w:t>0.039</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D7A05C" w14:textId="77777777" w:rsidR="00C93607" w:rsidRDefault="00000000">
            <w:pPr>
              <w:jc w:val="center"/>
            </w:pPr>
            <w:r>
              <w:rPr>
                <w:sz w:val="19"/>
                <w:szCs w:val="19"/>
              </w:rPr>
              <w:t>&gt;0.10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2F97B9" w14:textId="77777777" w:rsidR="00C93607" w:rsidRDefault="00000000">
            <w:pPr>
              <w:jc w:val="center"/>
            </w:pPr>
            <w:r>
              <w:rPr>
                <w:sz w:val="19"/>
                <w:szCs w:val="19"/>
              </w:rPr>
              <w:t>Stationary</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DC9E27" w14:textId="77777777" w:rsidR="00C93607" w:rsidRDefault="00000000">
            <w:pPr>
              <w:jc w:val="center"/>
            </w:pPr>
            <w:r>
              <w:rPr>
                <w:sz w:val="19"/>
                <w:szCs w:val="19"/>
              </w:rPr>
              <w:t>Fail to reject H₀</w:t>
            </w:r>
          </w:p>
        </w:tc>
      </w:tr>
    </w:tbl>
    <w:p w14:paraId="0DB23DFA" w14:textId="77777777" w:rsidR="00C93607" w:rsidRDefault="00000000">
      <w:pPr>
        <w:pStyle w:val="Heading3"/>
      </w:pPr>
      <w:r>
        <w:rPr>
          <w:color w:val="334455"/>
        </w:rPr>
        <w:t>5.1.3  Autocorrelation Structure and Hurst Analysis</w:t>
      </w:r>
    </w:p>
    <w:p w14:paraId="0A004DE8" w14:textId="77777777" w:rsidR="00C93607" w:rsidRDefault="00000000">
      <w:pPr>
        <w:spacing w:before="120" w:after="60"/>
        <w:jc w:val="center"/>
      </w:pPr>
      <w:r>
        <w:rPr>
          <w:noProof/>
        </w:rPr>
        <w:drawing>
          <wp:inline distT="0" distB="0" distL="0" distR="0" wp14:anchorId="06CC8658" wp14:editId="6F4AA346">
            <wp:extent cx="5715000" cy="2562225"/>
            <wp:effectExtent l="0" t="0" r="0" b="0"/>
            <wp:docPr id="639299406" name="Picture 63929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48B96598" w14:textId="77777777" w:rsidR="00C93607" w:rsidRDefault="00000000">
      <w:pPr>
        <w:spacing w:before="60" w:after="200"/>
        <w:jc w:val="center"/>
      </w:pPr>
      <w:r>
        <w:rPr>
          <w:rFonts w:ascii="Arial" w:eastAsia="Arial" w:hAnsi="Arial" w:cs="Arial"/>
          <w:i/>
          <w:iCs/>
          <w:color w:val="333333"/>
          <w:sz w:val="19"/>
          <w:szCs w:val="19"/>
        </w:rPr>
        <w:t>Figure 2. Time-series structure analysis: (top-left) ACF showing all lags within ±1.96/√N confidence bounds; (top-middle) PACF with similar structure; (top-right) lag plot of Q(t) vs Q(t-1) with Spearman ρ = 0.237 (not significant at 5%); (bottom-left) Hurst R/S analysis with slope H = 0.556; (bottom-middle) Ljung-Box p-values, all above 0.05 except a borderline exceedance near lag 5; (bottom-right) rolling variance showing temporal stability.</w:t>
      </w:r>
    </w:p>
    <w:p w14:paraId="0B7B476C" w14:textId="77777777" w:rsidR="00C93607" w:rsidRDefault="00000000">
      <w:pPr>
        <w:spacing w:before="60" w:after="60" w:line="360" w:lineRule="auto"/>
        <w:jc w:val="both"/>
      </w:pPr>
      <w:r>
        <w:rPr>
          <w:color w:val="000000"/>
        </w:rPr>
        <w:t>The ACF and PACF in Figure 2 show all lag values falling comfortably within the ±1.96/√57 = ±0.260 significance bounds, confirming no significant autocorrelation at any individual lag. The Ljung-Box test results (bottom-middle panel) tell a similar story: p-values are comfortably above 0.05 at all lags, with the exception of a borderline value near lag 5 that is likely a multiple-testing artefact rather than genuine autocorrelation. The lag-1 discharge plot (top-right) shows a weak scatter with Spearman ρ = 0.237, which is not significant at the 5% level (p &gt; 0.05). The Hurst exponent H = 0.556 — estimated from the slope of the log(R/S) vs log(n) relationship — suggests very mild persistence in the flood series. This is consistent with the known multi-year variability of Indian monsoon rainfall driven by ENSO and Indian Ocean SST anomalies (Kumar et al., 2006), but is not of a magnitude that would invalidate the independence assumption for engineering FFA purposes (</w:t>
      </w:r>
      <w:proofErr w:type="spellStart"/>
      <w:r>
        <w:rPr>
          <w:color w:val="000000"/>
        </w:rPr>
        <w:t>Koutsoyiannis</w:t>
      </w:r>
      <w:proofErr w:type="spellEnd"/>
      <w:r>
        <w:rPr>
          <w:color w:val="000000"/>
        </w:rPr>
        <w:t>, 2003).</w:t>
      </w:r>
    </w:p>
    <w:p w14:paraId="136FAD7D" w14:textId="77777777" w:rsidR="00C93607" w:rsidRDefault="00000000">
      <w:pPr>
        <w:pStyle w:val="Heading2"/>
      </w:pPr>
      <w:r>
        <w:rPr>
          <w:color w:val="1A6B5A"/>
        </w:rPr>
        <w:t>5.2  Skewness, Kurtosis and Moment Analysis</w:t>
      </w:r>
    </w:p>
    <w:p w14:paraId="3E5F512D" w14:textId="77777777" w:rsidR="00C93607" w:rsidRDefault="00000000">
      <w:pPr>
        <w:spacing w:before="120" w:after="60"/>
        <w:jc w:val="center"/>
      </w:pPr>
      <w:r>
        <w:rPr>
          <w:noProof/>
        </w:rPr>
        <w:drawing>
          <wp:inline distT="0" distB="0" distL="0" distR="0" wp14:anchorId="1D66B54F" wp14:editId="08465B5D">
            <wp:extent cx="5715000" cy="3648075"/>
            <wp:effectExtent l="0" t="0" r="0" b="0"/>
            <wp:docPr id="1208892237" name="Picture 120889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48075"/>
                    </a:xfrm>
                    <a:prstGeom prst="rect">
                      <a:avLst/>
                    </a:prstGeom>
                  </pic:spPr>
                </pic:pic>
              </a:graphicData>
            </a:graphic>
          </wp:inline>
        </w:drawing>
      </w:r>
    </w:p>
    <w:p w14:paraId="69BA1119" w14:textId="77777777" w:rsidR="00C93607" w:rsidRDefault="00000000">
      <w:pPr>
        <w:spacing w:before="60" w:after="200"/>
        <w:jc w:val="center"/>
      </w:pPr>
      <w:r>
        <w:rPr>
          <w:rFonts w:ascii="Arial" w:eastAsia="Arial" w:hAnsi="Arial" w:cs="Arial"/>
          <w:i/>
          <w:iCs/>
          <w:color w:val="333333"/>
          <w:sz w:val="19"/>
          <w:szCs w:val="19"/>
        </w:rPr>
        <w:t>Figure 3. Skewness and kurtosis analysis: (a) bootstrap distribution of skewness with 95% CI [0.578, 1.514] entirely positive; (b) bootstrap kurtosis CI; (c) Cs-Ck moment space placing Karad data within the Pearson III/LP3 region; (d) normal probability paper (r = 0.953 for raw Q; near-perfect for log Q); (e) decadal KDE showing consistent right-skewed shape across all decades; (f) bootstrap CV distribution confirming stable CV = 0.534.</w:t>
      </w:r>
    </w:p>
    <w:p w14:paraId="222EDF8C" w14:textId="77777777" w:rsidR="00C93607" w:rsidRDefault="00000000">
      <w:pPr>
        <w:spacing w:before="60" w:after="60" w:line="360" w:lineRule="auto"/>
        <w:jc w:val="both"/>
      </w:pPr>
      <w:r>
        <w:rPr>
          <w:color w:val="000000"/>
        </w:rPr>
        <w:t>Figure 3 and the seven skewness estimators all converge on a consistent picture: the Karad flood series is robustly right-skewed (Cs = 1.082, adjusted G₁ = 1.082, standard error = 0.316, Z-score = 3.42). The 5,000-replicate bootstrap 95% confidence interval for skewness is [0.578, 1.514] — entirely positive and well away from zero — confirming that the positive skewness is a genuine population property rather than a sampling artefact. This is important because the skewness coefficient directly controls the shape of fitted P3 and LP3 distributions and has a strong influence on design flood estimates at return periods greater than about 25 years.</w:t>
      </w:r>
    </w:p>
    <w:p w14:paraId="7B42D42C" w14:textId="77777777" w:rsidR="00C93607" w:rsidRDefault="00000000">
      <w:pPr>
        <w:spacing w:before="60" w:after="60" w:line="360" w:lineRule="auto"/>
        <w:jc w:val="both"/>
      </w:pPr>
      <w:r>
        <w:rPr>
          <w:color w:val="000000"/>
        </w:rPr>
        <w:t>The near-zero log-space skewness (0.096) is the key diagnostic result: it tells us that after applying a natural logarithm transformation, the distribution is nearly symmetric. This is exactly what we would expect from a two-parameter log-normal distribution, and it strongly motivates the use of LP3 and LN2 as leading candidates. Panel (c) of Figure 3 places the data at Cs = 1.082, Ck = 0.468 in the moment space. The theoretical Cs-Ck relationship for the Pearson III distribution is Ck = Cs²/2, which at Cs = 1.082 predicts Ck = 0.585 — close to the observed Ck = 0.468. The data point lies between the Pearson III and LP3 theoretical loci, consistent with both being strong candidate distributions.</w:t>
      </w:r>
    </w:p>
    <w:p w14:paraId="4DD2A5C7" w14:textId="77777777" w:rsidR="00C93607" w:rsidRDefault="00000000">
      <w:pPr>
        <w:pStyle w:val="Heading2"/>
      </w:pPr>
      <w:r>
        <w:rPr>
          <w:color w:val="1A6B5A"/>
        </w:rPr>
        <w:t>5.3  Distribution Fitting and Selection (Objective 2)</w:t>
      </w:r>
    </w:p>
    <w:p w14:paraId="252E9EA2" w14:textId="77777777" w:rsidR="00C93607" w:rsidRDefault="00000000">
      <w:pPr>
        <w:pStyle w:val="Heading3"/>
      </w:pPr>
      <w:r>
        <w:rPr>
          <w:color w:val="334455"/>
        </w:rPr>
        <w:t>5.3.1  Information Criterion Rankings</w:t>
      </w:r>
    </w:p>
    <w:p w14:paraId="08887071" w14:textId="77777777" w:rsidR="00C93607" w:rsidRDefault="00000000">
      <w:pPr>
        <w:spacing w:before="120" w:after="60"/>
        <w:jc w:val="center"/>
      </w:pPr>
      <w:r>
        <w:rPr>
          <w:noProof/>
        </w:rPr>
        <w:drawing>
          <wp:inline distT="0" distB="0" distL="0" distR="0" wp14:anchorId="0E2BB317" wp14:editId="3D822497">
            <wp:extent cx="5715000" cy="2047875"/>
            <wp:effectExtent l="0" t="0" r="0" b="0"/>
            <wp:docPr id="1454338493" name="Picture 1454338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47875"/>
                    </a:xfrm>
                    <a:prstGeom prst="rect">
                      <a:avLst/>
                    </a:prstGeom>
                  </pic:spPr>
                </pic:pic>
              </a:graphicData>
            </a:graphic>
          </wp:inline>
        </w:drawing>
      </w:r>
    </w:p>
    <w:p w14:paraId="754E4C61" w14:textId="77777777" w:rsidR="00C93607" w:rsidRDefault="00000000">
      <w:pPr>
        <w:spacing w:before="60" w:after="200"/>
        <w:jc w:val="center"/>
      </w:pPr>
      <w:r>
        <w:rPr>
          <w:rFonts w:ascii="Arial" w:eastAsia="Arial" w:hAnsi="Arial" w:cs="Arial"/>
          <w:i/>
          <w:iCs/>
          <w:color w:val="333333"/>
          <w:sz w:val="19"/>
          <w:szCs w:val="19"/>
        </w:rPr>
        <w:t xml:space="preserve">Figure 4. Information criterion comparison across all 12 fitted distributions (left panel) and corresponding Akaike weights (right panel). The Log-Pearson III achieves an Akaike weight of exactly 1.000, meaning it carries all the statistical evidence within the candidate set. Note the large </w:t>
      </w:r>
      <w:proofErr w:type="spellStart"/>
      <w:r>
        <w:rPr>
          <w:rFonts w:ascii="Arial" w:eastAsia="Arial" w:hAnsi="Arial" w:cs="Arial"/>
          <w:i/>
          <w:iCs/>
          <w:color w:val="333333"/>
          <w:sz w:val="19"/>
          <w:szCs w:val="19"/>
        </w:rPr>
        <w:t>AICc</w:t>
      </w:r>
      <w:proofErr w:type="spellEnd"/>
      <w:r>
        <w:rPr>
          <w:rFonts w:ascii="Arial" w:eastAsia="Arial" w:hAnsi="Arial" w:cs="Arial"/>
          <w:i/>
          <w:iCs/>
          <w:color w:val="333333"/>
          <w:sz w:val="19"/>
          <w:szCs w:val="19"/>
        </w:rPr>
        <w:t xml:space="preserve"> gap (approximately 890 units) between LP3 and all other distributions.</w:t>
      </w:r>
    </w:p>
    <w:p w14:paraId="57D52152" w14:textId="77777777" w:rsidR="00C93607" w:rsidRDefault="00000000">
      <w:pPr>
        <w:spacing w:before="160" w:after="60"/>
      </w:pPr>
      <w:r>
        <w:rPr>
          <w:rFonts w:ascii="Arial" w:eastAsia="Arial" w:hAnsi="Arial" w:cs="Arial"/>
          <w:b/>
          <w:bCs/>
          <w:color w:val="1B3A6B"/>
          <w:sz w:val="20"/>
          <w:szCs w:val="20"/>
        </w:rPr>
        <w:t>Table 4. Information criterion ranking of all 12 distributions fitted to Karad annual peak discharges</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1643"/>
        <w:gridCol w:w="833"/>
        <w:gridCol w:w="833"/>
        <w:gridCol w:w="773"/>
        <w:gridCol w:w="1063"/>
        <w:gridCol w:w="1051"/>
        <w:gridCol w:w="778"/>
        <w:gridCol w:w="641"/>
      </w:tblGrid>
      <w:tr w:rsidR="00C93607" w14:paraId="39F033BD" w14:textId="77777777">
        <w:tblPrEx>
          <w:tblCellMar>
            <w:top w:w="0" w:type="dxa"/>
            <w:bottom w:w="0" w:type="dxa"/>
          </w:tblCellMar>
        </w:tblPrEx>
        <w:trPr>
          <w:tblHeader/>
        </w:trPr>
        <w:tc>
          <w:tcPr>
            <w:tcW w:w="4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66C18D6" w14:textId="77777777" w:rsidR="00C93607" w:rsidRDefault="00000000">
            <w:pPr>
              <w:jc w:val="center"/>
            </w:pPr>
            <w:r>
              <w:rPr>
                <w:rFonts w:ascii="Arial" w:eastAsia="Arial" w:hAnsi="Arial" w:cs="Arial"/>
                <w:b/>
                <w:bCs/>
                <w:color w:val="FFFFFF"/>
                <w:sz w:val="19"/>
                <w:szCs w:val="19"/>
              </w:rPr>
              <w:t>Rank</w:t>
            </w:r>
          </w:p>
        </w:tc>
        <w:tc>
          <w:tcPr>
            <w:tcW w:w="17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C019F9D" w14:textId="77777777" w:rsidR="00C93607" w:rsidRDefault="00000000">
            <w:pPr>
              <w:jc w:val="center"/>
            </w:pPr>
            <w:r>
              <w:rPr>
                <w:rFonts w:ascii="Arial" w:eastAsia="Arial" w:hAnsi="Arial" w:cs="Arial"/>
                <w:b/>
                <w:bCs/>
                <w:color w:val="FFFFFF"/>
                <w:sz w:val="19"/>
                <w:szCs w:val="19"/>
              </w:rPr>
              <w:t>Distribution</w:t>
            </w:r>
          </w:p>
        </w:tc>
        <w:tc>
          <w:tcPr>
            <w:tcW w:w="8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55503A9" w14:textId="77777777" w:rsidR="00C93607" w:rsidRDefault="00000000">
            <w:pPr>
              <w:jc w:val="center"/>
            </w:pPr>
            <w:proofErr w:type="spellStart"/>
            <w:r>
              <w:rPr>
                <w:rFonts w:ascii="Arial" w:eastAsia="Arial" w:hAnsi="Arial" w:cs="Arial"/>
                <w:b/>
                <w:bCs/>
                <w:color w:val="FFFFFF"/>
                <w:sz w:val="19"/>
                <w:szCs w:val="19"/>
              </w:rPr>
              <w:t>AICc</w:t>
            </w:r>
            <w:proofErr w:type="spellEnd"/>
          </w:p>
        </w:tc>
        <w:tc>
          <w:tcPr>
            <w:tcW w:w="8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97A11A9" w14:textId="77777777" w:rsidR="00C93607" w:rsidRDefault="00000000">
            <w:pPr>
              <w:jc w:val="center"/>
            </w:pPr>
            <w:r>
              <w:rPr>
                <w:rFonts w:ascii="Arial" w:eastAsia="Arial" w:hAnsi="Arial" w:cs="Arial"/>
                <w:b/>
                <w:bCs/>
                <w:color w:val="FFFFFF"/>
                <w:sz w:val="19"/>
                <w:szCs w:val="19"/>
              </w:rPr>
              <w:t>BIC</w:t>
            </w:r>
          </w:p>
        </w:tc>
        <w:tc>
          <w:tcPr>
            <w:tcW w:w="78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B043AC3" w14:textId="77777777" w:rsidR="00C93607" w:rsidRDefault="00000000">
            <w:pPr>
              <w:jc w:val="center"/>
            </w:pPr>
            <w:r>
              <w:rPr>
                <w:rFonts w:ascii="Arial" w:eastAsia="Arial" w:hAnsi="Arial" w:cs="Arial"/>
                <w:b/>
                <w:bCs/>
                <w:color w:val="FFFFFF"/>
                <w:sz w:val="19"/>
                <w:szCs w:val="19"/>
              </w:rPr>
              <w:t>ΔAIC</w:t>
            </w:r>
          </w:p>
        </w:tc>
        <w:tc>
          <w:tcPr>
            <w:tcW w:w="11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C4F37C8" w14:textId="77777777" w:rsidR="00C93607" w:rsidRDefault="00000000">
            <w:pPr>
              <w:jc w:val="center"/>
            </w:pPr>
            <w:r>
              <w:rPr>
                <w:rFonts w:ascii="Arial" w:eastAsia="Arial" w:hAnsi="Arial" w:cs="Arial"/>
                <w:b/>
                <w:bCs/>
                <w:color w:val="FFFFFF"/>
                <w:sz w:val="19"/>
                <w:szCs w:val="19"/>
              </w:rPr>
              <w:t>Akaike weight</w:t>
            </w:r>
          </w:p>
        </w:tc>
        <w:tc>
          <w:tcPr>
            <w:tcW w:w="11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61BF7E9" w14:textId="77777777" w:rsidR="00C93607" w:rsidRDefault="00000000">
            <w:pPr>
              <w:jc w:val="center"/>
            </w:pPr>
            <w:r>
              <w:rPr>
                <w:rFonts w:ascii="Arial" w:eastAsia="Arial" w:hAnsi="Arial" w:cs="Arial"/>
                <w:b/>
                <w:bCs/>
                <w:color w:val="FFFFFF"/>
                <w:sz w:val="19"/>
                <w:szCs w:val="19"/>
              </w:rPr>
              <w:t>KS p-value</w:t>
            </w:r>
          </w:p>
        </w:tc>
        <w:tc>
          <w:tcPr>
            <w:tcW w:w="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A0249AF" w14:textId="77777777" w:rsidR="00C93607" w:rsidRDefault="00000000">
            <w:pPr>
              <w:jc w:val="center"/>
            </w:pPr>
            <w:r>
              <w:rPr>
                <w:rFonts w:ascii="Arial" w:eastAsia="Arial" w:hAnsi="Arial" w:cs="Arial"/>
                <w:b/>
                <w:bCs/>
                <w:color w:val="FFFFFF"/>
                <w:sz w:val="19"/>
                <w:szCs w:val="19"/>
              </w:rPr>
              <w:t>R²</w:t>
            </w:r>
          </w:p>
        </w:tc>
        <w:tc>
          <w:tcPr>
            <w:tcW w:w="6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4D1A693" w14:textId="77777777" w:rsidR="00C93607" w:rsidRDefault="00000000">
            <w:pPr>
              <w:jc w:val="center"/>
            </w:pPr>
            <w:proofErr w:type="spellStart"/>
            <w:r>
              <w:rPr>
                <w:rFonts w:ascii="Arial" w:eastAsia="Arial" w:hAnsi="Arial" w:cs="Arial"/>
                <w:b/>
                <w:bCs/>
                <w:color w:val="FFFFFF"/>
                <w:sz w:val="19"/>
                <w:szCs w:val="19"/>
              </w:rPr>
              <w:t>GoF</w:t>
            </w:r>
            <w:proofErr w:type="spellEnd"/>
          </w:p>
        </w:tc>
      </w:tr>
      <w:tr w:rsidR="00C93607" w14:paraId="39191060"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EFDA76F" w14:textId="77777777" w:rsidR="00C93607" w:rsidRDefault="00000000">
            <w:r>
              <w:rPr>
                <w:sz w:val="19"/>
                <w:szCs w:val="19"/>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40D3BFE" w14:textId="77777777" w:rsidR="00C93607" w:rsidRDefault="00000000">
            <w:pPr>
              <w:jc w:val="center"/>
            </w:pPr>
            <w:r>
              <w:rPr>
                <w:sz w:val="19"/>
                <w:szCs w:val="19"/>
              </w:rPr>
              <w:t>Log-Pearson III</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AC363FA" w14:textId="77777777" w:rsidR="00C93607" w:rsidRDefault="00000000">
            <w:pPr>
              <w:jc w:val="center"/>
            </w:pPr>
            <w:r>
              <w:rPr>
                <w:sz w:val="19"/>
                <w:szCs w:val="19"/>
              </w:rPr>
              <w:t>92.1</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4DF4C74" w14:textId="77777777" w:rsidR="00C93607" w:rsidRDefault="00000000">
            <w:pPr>
              <w:jc w:val="center"/>
            </w:pPr>
            <w:r>
              <w:rPr>
                <w:sz w:val="19"/>
                <w:szCs w:val="19"/>
              </w:rPr>
              <w:t>97.8</w:t>
            </w:r>
          </w:p>
        </w:tc>
        <w:tc>
          <w:tcPr>
            <w:tcW w:w="78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584E7CA" w14:textId="77777777" w:rsidR="00C93607" w:rsidRDefault="00000000">
            <w:pPr>
              <w:jc w:val="center"/>
            </w:pPr>
            <w:r>
              <w:rPr>
                <w:sz w:val="19"/>
                <w:szCs w:val="19"/>
              </w:rPr>
              <w:t>0.0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6BD0EB8" w14:textId="77777777" w:rsidR="00C93607" w:rsidRDefault="00000000">
            <w:pPr>
              <w:jc w:val="center"/>
            </w:pPr>
            <w:r>
              <w:rPr>
                <w:sz w:val="19"/>
                <w:szCs w:val="19"/>
              </w:rPr>
              <w:t>1.0000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DEA769E" w14:textId="77777777" w:rsidR="00C93607" w:rsidRDefault="00000000">
            <w:pPr>
              <w:jc w:val="center"/>
            </w:pPr>
            <w:r>
              <w:rPr>
                <w:sz w:val="19"/>
                <w:szCs w:val="19"/>
              </w:rPr>
              <w:t>0.987</w:t>
            </w:r>
          </w:p>
        </w:tc>
        <w:tc>
          <w:tcPr>
            <w:tcW w:w="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6D57A12" w14:textId="77777777" w:rsidR="00C93607" w:rsidRDefault="00000000">
            <w:pPr>
              <w:jc w:val="center"/>
            </w:pPr>
            <w:r>
              <w:rPr>
                <w:sz w:val="19"/>
                <w:szCs w:val="19"/>
              </w:rPr>
              <w:t>0.983</w:t>
            </w:r>
          </w:p>
        </w:tc>
        <w:tc>
          <w:tcPr>
            <w:tcW w:w="6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6B8C2E1" w14:textId="77777777" w:rsidR="00C93607" w:rsidRDefault="00000000">
            <w:pPr>
              <w:jc w:val="center"/>
            </w:pPr>
            <w:r>
              <w:rPr>
                <w:sz w:val="19"/>
                <w:szCs w:val="19"/>
              </w:rPr>
              <w:t>✓</w:t>
            </w:r>
          </w:p>
        </w:tc>
      </w:tr>
      <w:tr w:rsidR="00C93607" w14:paraId="069CC6F0"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95F62A" w14:textId="77777777" w:rsidR="00C93607" w:rsidRDefault="00000000">
            <w:r>
              <w:rPr>
                <w:sz w:val="19"/>
                <w:szCs w:val="19"/>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116114" w14:textId="77777777" w:rsidR="00C93607" w:rsidRDefault="00000000">
            <w:pPr>
              <w:jc w:val="center"/>
            </w:pPr>
            <w:r>
              <w:rPr>
                <w:sz w:val="19"/>
                <w:szCs w:val="19"/>
              </w:rPr>
              <w:t>Weibull (EV3)</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C62278" w14:textId="77777777" w:rsidR="00C93607" w:rsidRDefault="00000000">
            <w:pPr>
              <w:jc w:val="center"/>
            </w:pPr>
            <w:r>
              <w:rPr>
                <w:sz w:val="19"/>
                <w:szCs w:val="19"/>
              </w:rPr>
              <w:t>981.5</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252625" w14:textId="77777777" w:rsidR="00C93607" w:rsidRDefault="00000000">
            <w:pPr>
              <w:jc w:val="center"/>
            </w:pPr>
            <w:r>
              <w:rPr>
                <w:sz w:val="19"/>
                <w:szCs w:val="19"/>
              </w:rPr>
              <w:t>987.2</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351709" w14:textId="77777777" w:rsidR="00C93607" w:rsidRDefault="00000000">
            <w:pPr>
              <w:jc w:val="center"/>
            </w:pPr>
            <w:r>
              <w:rPr>
                <w:sz w:val="19"/>
                <w:szCs w:val="19"/>
              </w:rPr>
              <w:t>889.4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C17395"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7C07A1" w14:textId="77777777" w:rsidR="00C93607" w:rsidRDefault="00000000">
            <w:pPr>
              <w:jc w:val="center"/>
            </w:pPr>
            <w:r>
              <w:rPr>
                <w:sz w:val="19"/>
                <w:szCs w:val="19"/>
              </w:rPr>
              <w:t>0.996</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3D5F91" w14:textId="77777777" w:rsidR="00C93607" w:rsidRDefault="00000000">
            <w:pPr>
              <w:jc w:val="center"/>
            </w:pPr>
            <w:r>
              <w:rPr>
                <w:sz w:val="19"/>
                <w:szCs w:val="19"/>
              </w:rPr>
              <w:t>0.988</w:t>
            </w:r>
          </w:p>
        </w:tc>
        <w:tc>
          <w:tcPr>
            <w:tcW w:w="6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87FA5F" w14:textId="77777777" w:rsidR="00C93607" w:rsidRDefault="00000000">
            <w:pPr>
              <w:jc w:val="center"/>
            </w:pPr>
            <w:r>
              <w:rPr>
                <w:sz w:val="19"/>
                <w:szCs w:val="19"/>
              </w:rPr>
              <w:t>✓</w:t>
            </w:r>
          </w:p>
        </w:tc>
      </w:tr>
      <w:tr w:rsidR="00C93607" w14:paraId="0C4FF73A"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788A70A" w14:textId="77777777" w:rsidR="00C93607" w:rsidRDefault="00000000">
            <w:r>
              <w:rPr>
                <w:sz w:val="19"/>
                <w:szCs w:val="19"/>
              </w:rPr>
              <w:t>3</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07D0E9D" w14:textId="77777777" w:rsidR="00C93607" w:rsidRDefault="00000000">
            <w:pPr>
              <w:jc w:val="center"/>
            </w:pPr>
            <w:r>
              <w:rPr>
                <w:sz w:val="19"/>
                <w:szCs w:val="19"/>
              </w:rPr>
              <w:t>Pearson III (P3)</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8A68A22" w14:textId="77777777" w:rsidR="00C93607" w:rsidRDefault="00000000">
            <w:pPr>
              <w:jc w:val="center"/>
            </w:pPr>
            <w:r>
              <w:rPr>
                <w:sz w:val="19"/>
                <w:szCs w:val="19"/>
              </w:rPr>
              <w:t>981.8</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80DFFCF" w14:textId="77777777" w:rsidR="00C93607" w:rsidRDefault="00000000">
            <w:pPr>
              <w:jc w:val="center"/>
            </w:pPr>
            <w:r>
              <w:rPr>
                <w:sz w:val="19"/>
                <w:szCs w:val="19"/>
              </w:rPr>
              <w:t>987.5</w:t>
            </w:r>
          </w:p>
        </w:tc>
        <w:tc>
          <w:tcPr>
            <w:tcW w:w="78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C1B90A5" w14:textId="77777777" w:rsidR="00C93607" w:rsidRDefault="00000000">
            <w:pPr>
              <w:jc w:val="center"/>
            </w:pPr>
            <w:r>
              <w:rPr>
                <w:sz w:val="19"/>
                <w:szCs w:val="19"/>
              </w:rPr>
              <w:t>889.8</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8891216"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D87B17B" w14:textId="77777777" w:rsidR="00C93607" w:rsidRDefault="00000000">
            <w:pPr>
              <w:jc w:val="center"/>
            </w:pPr>
            <w:r>
              <w:rPr>
                <w:sz w:val="19"/>
                <w:szCs w:val="19"/>
              </w:rPr>
              <w:t>0.9999</w:t>
            </w:r>
          </w:p>
        </w:tc>
        <w:tc>
          <w:tcPr>
            <w:tcW w:w="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9B08D34" w14:textId="77777777" w:rsidR="00C93607" w:rsidRDefault="00000000">
            <w:pPr>
              <w:jc w:val="center"/>
            </w:pPr>
            <w:r>
              <w:rPr>
                <w:sz w:val="19"/>
                <w:szCs w:val="19"/>
              </w:rPr>
              <w:t>0.989</w:t>
            </w:r>
          </w:p>
        </w:tc>
        <w:tc>
          <w:tcPr>
            <w:tcW w:w="6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525F5B5" w14:textId="77777777" w:rsidR="00C93607" w:rsidRDefault="00000000">
            <w:pPr>
              <w:jc w:val="center"/>
            </w:pPr>
            <w:r>
              <w:rPr>
                <w:sz w:val="19"/>
                <w:szCs w:val="19"/>
              </w:rPr>
              <w:t>✓</w:t>
            </w:r>
          </w:p>
        </w:tc>
      </w:tr>
      <w:tr w:rsidR="00C93607" w14:paraId="628E75A5"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CC10B5" w14:textId="77777777" w:rsidR="00C93607" w:rsidRDefault="00000000">
            <w:r>
              <w:rPr>
                <w:sz w:val="19"/>
                <w:szCs w:val="19"/>
              </w:rPr>
              <w:t>4</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A9E924" w14:textId="77777777" w:rsidR="00C93607" w:rsidRDefault="00000000">
            <w:pPr>
              <w:jc w:val="center"/>
            </w:pPr>
            <w:r>
              <w:rPr>
                <w:sz w:val="19"/>
                <w:szCs w:val="19"/>
              </w:rPr>
              <w:t>Log-Normal (LN2)</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61C772" w14:textId="77777777" w:rsidR="00C93607" w:rsidRDefault="00000000">
            <w:pPr>
              <w:jc w:val="center"/>
            </w:pPr>
            <w:r>
              <w:rPr>
                <w:sz w:val="19"/>
                <w:szCs w:val="19"/>
              </w:rPr>
              <w:t>983.7</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2D3131" w14:textId="77777777" w:rsidR="00C93607" w:rsidRDefault="00000000">
            <w:pPr>
              <w:jc w:val="center"/>
            </w:pPr>
            <w:r>
              <w:rPr>
                <w:sz w:val="19"/>
                <w:szCs w:val="19"/>
              </w:rPr>
              <w:t>989.4</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C4D0EF" w14:textId="77777777" w:rsidR="00C93607" w:rsidRDefault="00000000">
            <w:pPr>
              <w:jc w:val="center"/>
            </w:pPr>
            <w:r>
              <w:rPr>
                <w:sz w:val="19"/>
                <w:szCs w:val="19"/>
              </w:rPr>
              <w:t>891.6</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903A24"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133E55" w14:textId="77777777" w:rsidR="00C93607" w:rsidRDefault="00000000">
            <w:pPr>
              <w:jc w:val="center"/>
            </w:pPr>
            <w:r>
              <w:rPr>
                <w:sz w:val="19"/>
                <w:szCs w:val="19"/>
              </w:rPr>
              <w:t>0.998</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4B391D" w14:textId="77777777" w:rsidR="00C93607" w:rsidRDefault="00000000">
            <w:pPr>
              <w:jc w:val="center"/>
            </w:pPr>
            <w:r>
              <w:rPr>
                <w:sz w:val="19"/>
                <w:szCs w:val="19"/>
              </w:rPr>
              <w:t>0.983</w:t>
            </w:r>
          </w:p>
        </w:tc>
        <w:tc>
          <w:tcPr>
            <w:tcW w:w="6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DAFFA6" w14:textId="77777777" w:rsidR="00C93607" w:rsidRDefault="00000000">
            <w:pPr>
              <w:jc w:val="center"/>
            </w:pPr>
            <w:r>
              <w:rPr>
                <w:sz w:val="19"/>
                <w:szCs w:val="19"/>
              </w:rPr>
              <w:t>✓</w:t>
            </w:r>
          </w:p>
        </w:tc>
      </w:tr>
      <w:tr w:rsidR="00C93607" w14:paraId="06B7E7FA"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E441BFA" w14:textId="77777777" w:rsidR="00C93607" w:rsidRDefault="00000000">
            <w:r>
              <w:rPr>
                <w:sz w:val="19"/>
                <w:szCs w:val="19"/>
              </w:rPr>
              <w:t>5</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5F201E9" w14:textId="77777777" w:rsidR="00C93607" w:rsidRDefault="00000000">
            <w:pPr>
              <w:jc w:val="center"/>
            </w:pPr>
            <w:r>
              <w:rPr>
                <w:sz w:val="19"/>
                <w:szCs w:val="19"/>
              </w:rPr>
              <w:t>Generalised Pareto</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0403B69" w14:textId="77777777" w:rsidR="00C93607" w:rsidRDefault="00000000">
            <w:pPr>
              <w:jc w:val="center"/>
            </w:pPr>
            <w:r>
              <w:rPr>
                <w:sz w:val="19"/>
                <w:szCs w:val="19"/>
              </w:rPr>
              <w:t>984.0</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B33F6FA" w14:textId="77777777" w:rsidR="00C93607" w:rsidRDefault="00000000">
            <w:pPr>
              <w:jc w:val="center"/>
            </w:pPr>
            <w:r>
              <w:rPr>
                <w:sz w:val="19"/>
                <w:szCs w:val="19"/>
              </w:rPr>
              <w:t>989.7</w:t>
            </w:r>
          </w:p>
        </w:tc>
        <w:tc>
          <w:tcPr>
            <w:tcW w:w="78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3968167" w14:textId="77777777" w:rsidR="00C93607" w:rsidRDefault="00000000">
            <w:pPr>
              <w:jc w:val="center"/>
            </w:pPr>
            <w:r>
              <w:rPr>
                <w:sz w:val="19"/>
                <w:szCs w:val="19"/>
              </w:rPr>
              <w:t>892.0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FEF292E"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50B9E9B" w14:textId="77777777" w:rsidR="00C93607" w:rsidRDefault="00000000">
            <w:pPr>
              <w:jc w:val="center"/>
            </w:pPr>
            <w:r>
              <w:rPr>
                <w:sz w:val="19"/>
                <w:szCs w:val="19"/>
              </w:rPr>
              <w:t>0.370</w:t>
            </w:r>
          </w:p>
        </w:tc>
        <w:tc>
          <w:tcPr>
            <w:tcW w:w="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9D0726F" w14:textId="77777777" w:rsidR="00C93607" w:rsidRDefault="00000000">
            <w:pPr>
              <w:jc w:val="center"/>
            </w:pPr>
            <w:r>
              <w:rPr>
                <w:sz w:val="19"/>
                <w:szCs w:val="19"/>
              </w:rPr>
              <w:t>0.969</w:t>
            </w:r>
          </w:p>
        </w:tc>
        <w:tc>
          <w:tcPr>
            <w:tcW w:w="6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CC2C2CB" w14:textId="77777777" w:rsidR="00C93607" w:rsidRDefault="00000000">
            <w:pPr>
              <w:jc w:val="center"/>
            </w:pPr>
            <w:r>
              <w:rPr>
                <w:sz w:val="19"/>
                <w:szCs w:val="19"/>
              </w:rPr>
              <w:t>✓</w:t>
            </w:r>
          </w:p>
        </w:tc>
      </w:tr>
      <w:tr w:rsidR="00C93607" w14:paraId="54C0409F"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4B099B" w14:textId="77777777" w:rsidR="00C93607" w:rsidRDefault="00000000">
            <w:r>
              <w:rPr>
                <w:sz w:val="19"/>
                <w:szCs w:val="19"/>
              </w:rPr>
              <w:t>6</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BC6A75" w14:textId="77777777" w:rsidR="00C93607" w:rsidRDefault="00000000">
            <w:pPr>
              <w:jc w:val="center"/>
            </w:pPr>
            <w:r>
              <w:rPr>
                <w:sz w:val="19"/>
                <w:szCs w:val="19"/>
              </w:rPr>
              <w:t>Exponential</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4CDA9A" w14:textId="77777777" w:rsidR="00C93607" w:rsidRDefault="00000000">
            <w:pPr>
              <w:jc w:val="center"/>
            </w:pPr>
            <w:r>
              <w:rPr>
                <w:sz w:val="19"/>
                <w:szCs w:val="19"/>
              </w:rPr>
              <w:t>984.8</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6B2674" w14:textId="77777777" w:rsidR="00C93607" w:rsidRDefault="00000000">
            <w:pPr>
              <w:jc w:val="center"/>
            </w:pPr>
            <w:r>
              <w:rPr>
                <w:sz w:val="19"/>
                <w:szCs w:val="19"/>
              </w:rPr>
              <w:t>988.7</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AF082E" w14:textId="77777777" w:rsidR="00C93607" w:rsidRDefault="00000000">
            <w:pPr>
              <w:jc w:val="center"/>
            </w:pPr>
            <w:r>
              <w:rPr>
                <w:sz w:val="19"/>
                <w:szCs w:val="19"/>
              </w:rPr>
              <w:t>892.7</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D9B6F5"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4CC492" w14:textId="77777777" w:rsidR="00C93607" w:rsidRDefault="00000000">
            <w:pPr>
              <w:jc w:val="center"/>
            </w:pPr>
            <w:r>
              <w:rPr>
                <w:sz w:val="19"/>
                <w:szCs w:val="19"/>
              </w:rPr>
              <w:t>0.334</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1E00A3" w14:textId="77777777" w:rsidR="00C93607" w:rsidRDefault="00000000">
            <w:pPr>
              <w:jc w:val="center"/>
            </w:pPr>
            <w:r>
              <w:rPr>
                <w:sz w:val="19"/>
                <w:szCs w:val="19"/>
              </w:rPr>
              <w:t>0.948</w:t>
            </w:r>
          </w:p>
        </w:tc>
        <w:tc>
          <w:tcPr>
            <w:tcW w:w="6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0B40C3" w14:textId="77777777" w:rsidR="00C93607" w:rsidRDefault="00000000">
            <w:pPr>
              <w:jc w:val="center"/>
            </w:pPr>
            <w:r>
              <w:rPr>
                <w:sz w:val="19"/>
                <w:szCs w:val="19"/>
              </w:rPr>
              <w:t>✓</w:t>
            </w:r>
          </w:p>
        </w:tc>
      </w:tr>
      <w:tr w:rsidR="00C93607" w14:paraId="33F3C4B0"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E7BEE0C" w14:textId="77777777" w:rsidR="00C93607" w:rsidRDefault="00000000">
            <w:r>
              <w:rPr>
                <w:sz w:val="19"/>
                <w:szCs w:val="19"/>
              </w:rPr>
              <w:t>7</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3683DD8" w14:textId="77777777" w:rsidR="00C93607" w:rsidRDefault="00000000">
            <w:pPr>
              <w:jc w:val="center"/>
            </w:pPr>
            <w:r>
              <w:rPr>
                <w:sz w:val="19"/>
                <w:szCs w:val="19"/>
              </w:rPr>
              <w:t>Gumbel (EV1)</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1194821" w14:textId="77777777" w:rsidR="00C93607" w:rsidRDefault="00000000">
            <w:pPr>
              <w:jc w:val="center"/>
            </w:pPr>
            <w:r>
              <w:rPr>
                <w:sz w:val="19"/>
                <w:szCs w:val="19"/>
              </w:rPr>
              <w:t>985.6</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1F110D2" w14:textId="77777777" w:rsidR="00C93607" w:rsidRDefault="00000000">
            <w:pPr>
              <w:jc w:val="center"/>
            </w:pPr>
            <w:r>
              <w:rPr>
                <w:sz w:val="19"/>
                <w:szCs w:val="19"/>
              </w:rPr>
              <w:t>989.4</w:t>
            </w:r>
          </w:p>
        </w:tc>
        <w:tc>
          <w:tcPr>
            <w:tcW w:w="78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81F4BCA" w14:textId="77777777" w:rsidR="00C93607" w:rsidRDefault="00000000">
            <w:pPr>
              <w:jc w:val="center"/>
            </w:pPr>
            <w:r>
              <w:rPr>
                <w:sz w:val="19"/>
                <w:szCs w:val="19"/>
              </w:rPr>
              <w:t>893.5</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AB55D4"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F0890DE" w14:textId="77777777" w:rsidR="00C93607" w:rsidRDefault="00000000">
            <w:pPr>
              <w:jc w:val="center"/>
            </w:pPr>
            <w:r>
              <w:rPr>
                <w:sz w:val="19"/>
                <w:szCs w:val="19"/>
              </w:rPr>
              <w:t>0.834</w:t>
            </w:r>
          </w:p>
        </w:tc>
        <w:tc>
          <w:tcPr>
            <w:tcW w:w="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6AA4906" w14:textId="77777777" w:rsidR="00C93607" w:rsidRDefault="00000000">
            <w:pPr>
              <w:jc w:val="center"/>
            </w:pPr>
            <w:r>
              <w:rPr>
                <w:sz w:val="19"/>
                <w:szCs w:val="19"/>
              </w:rPr>
              <w:t>0.957</w:t>
            </w:r>
          </w:p>
        </w:tc>
        <w:tc>
          <w:tcPr>
            <w:tcW w:w="6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DC043BE" w14:textId="77777777" w:rsidR="00C93607" w:rsidRDefault="00000000">
            <w:pPr>
              <w:jc w:val="center"/>
            </w:pPr>
            <w:r>
              <w:rPr>
                <w:sz w:val="19"/>
                <w:szCs w:val="19"/>
              </w:rPr>
              <w:t>✓</w:t>
            </w:r>
          </w:p>
        </w:tc>
      </w:tr>
      <w:tr w:rsidR="00C93607" w14:paraId="1DD735AF"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CD66A9" w14:textId="77777777" w:rsidR="00C93607" w:rsidRDefault="00000000">
            <w:r>
              <w:rPr>
                <w:sz w:val="19"/>
                <w:szCs w:val="19"/>
              </w:rPr>
              <w:t>8</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E82940" w14:textId="77777777" w:rsidR="00C93607" w:rsidRDefault="00000000">
            <w:pPr>
              <w:jc w:val="center"/>
            </w:pPr>
            <w:r>
              <w:rPr>
                <w:sz w:val="19"/>
                <w:szCs w:val="19"/>
              </w:rPr>
              <w:t>Log-Logistic</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835D82" w14:textId="77777777" w:rsidR="00C93607" w:rsidRDefault="00000000">
            <w:pPr>
              <w:jc w:val="center"/>
            </w:pPr>
            <w:r>
              <w:rPr>
                <w:sz w:val="19"/>
                <w:szCs w:val="19"/>
              </w:rPr>
              <w:t>986.2</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A7153A" w14:textId="77777777" w:rsidR="00C93607" w:rsidRDefault="00000000">
            <w:pPr>
              <w:jc w:val="center"/>
            </w:pPr>
            <w:r>
              <w:rPr>
                <w:sz w:val="19"/>
                <w:szCs w:val="19"/>
              </w:rPr>
              <w:t>991.9</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E6131C" w14:textId="77777777" w:rsidR="00C93607" w:rsidRDefault="00000000">
            <w:pPr>
              <w:jc w:val="center"/>
            </w:pPr>
            <w:r>
              <w:rPr>
                <w:sz w:val="19"/>
                <w:szCs w:val="19"/>
              </w:rPr>
              <w:t>894.1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77E620"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C42202" w14:textId="77777777" w:rsidR="00C93607" w:rsidRDefault="00000000">
            <w:pPr>
              <w:jc w:val="center"/>
            </w:pPr>
            <w:r>
              <w:rPr>
                <w:sz w:val="19"/>
                <w:szCs w:val="19"/>
              </w:rPr>
              <w:t>0.982</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596C0A" w14:textId="77777777" w:rsidR="00C93607" w:rsidRDefault="00000000">
            <w:pPr>
              <w:jc w:val="center"/>
            </w:pPr>
            <w:r>
              <w:rPr>
                <w:sz w:val="19"/>
                <w:szCs w:val="19"/>
              </w:rPr>
              <w:t>0.903</w:t>
            </w:r>
          </w:p>
        </w:tc>
        <w:tc>
          <w:tcPr>
            <w:tcW w:w="6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926FC8" w14:textId="77777777" w:rsidR="00C93607" w:rsidRDefault="00000000">
            <w:pPr>
              <w:jc w:val="center"/>
            </w:pPr>
            <w:r>
              <w:rPr>
                <w:sz w:val="19"/>
                <w:szCs w:val="19"/>
              </w:rPr>
              <w:t>✓</w:t>
            </w:r>
          </w:p>
        </w:tc>
      </w:tr>
      <w:tr w:rsidR="00C93607" w14:paraId="5C02D4C5"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4332EDF" w14:textId="77777777" w:rsidR="00C93607" w:rsidRDefault="00000000">
            <w:r>
              <w:rPr>
                <w:sz w:val="19"/>
                <w:szCs w:val="19"/>
              </w:rPr>
              <w:t>9</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A9A18F9" w14:textId="77777777" w:rsidR="00C93607" w:rsidRDefault="00000000">
            <w:pPr>
              <w:jc w:val="center"/>
            </w:pPr>
            <w:r>
              <w:rPr>
                <w:sz w:val="19"/>
                <w:szCs w:val="19"/>
              </w:rPr>
              <w:t>Gen. Logistic</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4BCDAE1" w14:textId="77777777" w:rsidR="00C93607" w:rsidRDefault="00000000">
            <w:pPr>
              <w:jc w:val="center"/>
            </w:pPr>
            <w:r>
              <w:rPr>
                <w:sz w:val="19"/>
                <w:szCs w:val="19"/>
              </w:rPr>
              <w:t>987.8</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C25BC15" w14:textId="77777777" w:rsidR="00C93607" w:rsidRDefault="00000000">
            <w:pPr>
              <w:jc w:val="center"/>
            </w:pPr>
            <w:r>
              <w:rPr>
                <w:sz w:val="19"/>
                <w:szCs w:val="19"/>
              </w:rPr>
              <w:t>993.5</w:t>
            </w:r>
          </w:p>
        </w:tc>
        <w:tc>
          <w:tcPr>
            <w:tcW w:w="78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EAD635F" w14:textId="77777777" w:rsidR="00C93607" w:rsidRDefault="00000000">
            <w:pPr>
              <w:jc w:val="center"/>
            </w:pPr>
            <w:r>
              <w:rPr>
                <w:sz w:val="19"/>
                <w:szCs w:val="19"/>
              </w:rPr>
              <w:t>895.7</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CCA0328"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CE818F5" w14:textId="77777777" w:rsidR="00C93607" w:rsidRDefault="00000000">
            <w:pPr>
              <w:jc w:val="center"/>
            </w:pPr>
            <w:r>
              <w:rPr>
                <w:sz w:val="19"/>
                <w:szCs w:val="19"/>
              </w:rPr>
              <w:t>0.832</w:t>
            </w:r>
          </w:p>
        </w:tc>
        <w:tc>
          <w:tcPr>
            <w:tcW w:w="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F123990" w14:textId="77777777" w:rsidR="00C93607" w:rsidRDefault="00000000">
            <w:pPr>
              <w:jc w:val="center"/>
            </w:pPr>
            <w:r>
              <w:rPr>
                <w:sz w:val="19"/>
                <w:szCs w:val="19"/>
              </w:rPr>
              <w:t>0.958</w:t>
            </w:r>
          </w:p>
        </w:tc>
        <w:tc>
          <w:tcPr>
            <w:tcW w:w="6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936F286" w14:textId="77777777" w:rsidR="00C93607" w:rsidRDefault="00000000">
            <w:pPr>
              <w:jc w:val="center"/>
            </w:pPr>
            <w:r>
              <w:rPr>
                <w:sz w:val="19"/>
                <w:szCs w:val="19"/>
              </w:rPr>
              <w:t>✓</w:t>
            </w:r>
          </w:p>
        </w:tc>
      </w:tr>
      <w:tr w:rsidR="00C93607" w14:paraId="1254A302"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A97E74" w14:textId="77777777" w:rsidR="00C93607" w:rsidRDefault="00000000">
            <w:r>
              <w:rPr>
                <w:sz w:val="19"/>
                <w:szCs w:val="19"/>
              </w:rPr>
              <w:t>10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650FC4" w14:textId="77777777" w:rsidR="00C93607" w:rsidRDefault="00000000">
            <w:pPr>
              <w:jc w:val="center"/>
            </w:pPr>
            <w:r>
              <w:rPr>
                <w:sz w:val="19"/>
                <w:szCs w:val="19"/>
              </w:rPr>
              <w:t>Burr Type XII</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1AB422" w14:textId="77777777" w:rsidR="00C93607" w:rsidRDefault="00000000">
            <w:pPr>
              <w:jc w:val="center"/>
            </w:pPr>
            <w:r>
              <w:rPr>
                <w:sz w:val="19"/>
                <w:szCs w:val="19"/>
              </w:rPr>
              <w:t>990.7</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7D65B3" w14:textId="77777777" w:rsidR="00C93607" w:rsidRDefault="00000000">
            <w:pPr>
              <w:jc w:val="center"/>
            </w:pPr>
            <w:r>
              <w:rPr>
                <w:sz w:val="19"/>
                <w:szCs w:val="19"/>
              </w:rPr>
              <w:t>998.1</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B36CB3" w14:textId="77777777" w:rsidR="00C93607" w:rsidRDefault="00000000">
            <w:pPr>
              <w:jc w:val="center"/>
            </w:pPr>
            <w:r>
              <w:rPr>
                <w:sz w:val="19"/>
                <w:szCs w:val="19"/>
              </w:rPr>
              <w:t>898.6</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5E05B6"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0E0C88" w14:textId="77777777" w:rsidR="00C93607" w:rsidRDefault="00000000">
            <w:pPr>
              <w:jc w:val="center"/>
            </w:pPr>
            <w:r>
              <w:rPr>
                <w:sz w:val="19"/>
                <w:szCs w:val="19"/>
              </w:rPr>
              <w:t>0.785</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038916" w14:textId="77777777" w:rsidR="00C93607" w:rsidRDefault="00000000">
            <w:pPr>
              <w:jc w:val="center"/>
            </w:pPr>
            <w:r>
              <w:rPr>
                <w:sz w:val="19"/>
                <w:szCs w:val="19"/>
              </w:rPr>
              <w:t>0.659</w:t>
            </w:r>
          </w:p>
        </w:tc>
        <w:tc>
          <w:tcPr>
            <w:tcW w:w="6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AED601" w14:textId="77777777" w:rsidR="00C93607" w:rsidRDefault="00000000">
            <w:pPr>
              <w:jc w:val="center"/>
            </w:pPr>
            <w:r>
              <w:rPr>
                <w:sz w:val="19"/>
                <w:szCs w:val="19"/>
              </w:rPr>
              <w:t>✓</w:t>
            </w:r>
          </w:p>
        </w:tc>
      </w:tr>
      <w:tr w:rsidR="00C93607" w14:paraId="57018352"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3FE3182" w14:textId="77777777" w:rsidR="00C93607" w:rsidRDefault="00000000">
            <w:r>
              <w:rPr>
                <w:sz w:val="19"/>
                <w:szCs w:val="19"/>
              </w:rPr>
              <w:t>11</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9BE2164" w14:textId="77777777" w:rsidR="00C93607" w:rsidRDefault="00000000">
            <w:pPr>
              <w:jc w:val="center"/>
            </w:pPr>
            <w:r>
              <w:rPr>
                <w:sz w:val="19"/>
                <w:szCs w:val="19"/>
              </w:rPr>
              <w:t>Kappa-4</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E13D902" w14:textId="77777777" w:rsidR="00C93607" w:rsidRDefault="00000000">
            <w:pPr>
              <w:jc w:val="center"/>
            </w:pPr>
            <w:r>
              <w:rPr>
                <w:sz w:val="19"/>
                <w:szCs w:val="19"/>
              </w:rPr>
              <w:t>996.4</w:t>
            </w:r>
          </w:p>
        </w:tc>
        <w:tc>
          <w:tcPr>
            <w:tcW w:w="8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A792036" w14:textId="77777777" w:rsidR="00C93607" w:rsidRDefault="00000000">
            <w:pPr>
              <w:jc w:val="center"/>
            </w:pPr>
            <w:r>
              <w:rPr>
                <w:sz w:val="19"/>
                <w:szCs w:val="19"/>
              </w:rPr>
              <w:t>1003.8</w:t>
            </w:r>
          </w:p>
        </w:tc>
        <w:tc>
          <w:tcPr>
            <w:tcW w:w="78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3D55C1B" w14:textId="77777777" w:rsidR="00C93607" w:rsidRDefault="00000000">
            <w:pPr>
              <w:jc w:val="center"/>
            </w:pPr>
            <w:r>
              <w:rPr>
                <w:sz w:val="19"/>
                <w:szCs w:val="19"/>
              </w:rPr>
              <w:t>904.3</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B3B6342"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05BA097" w14:textId="77777777" w:rsidR="00C93607" w:rsidRDefault="00000000">
            <w:pPr>
              <w:jc w:val="center"/>
            </w:pPr>
            <w:r>
              <w:rPr>
                <w:sz w:val="19"/>
                <w:szCs w:val="19"/>
              </w:rPr>
              <w:t>0.000</w:t>
            </w:r>
          </w:p>
        </w:tc>
        <w:tc>
          <w:tcPr>
            <w:tcW w:w="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62C6A84" w14:textId="77777777" w:rsidR="00C93607" w:rsidRDefault="00000000">
            <w:pPr>
              <w:jc w:val="center"/>
            </w:pPr>
            <w:r>
              <w:rPr>
                <w:sz w:val="19"/>
                <w:szCs w:val="19"/>
              </w:rPr>
              <w:t>0.378</w:t>
            </w:r>
          </w:p>
        </w:tc>
        <w:tc>
          <w:tcPr>
            <w:tcW w:w="65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0FF2380" w14:textId="77777777" w:rsidR="00C93607" w:rsidRDefault="00000000">
            <w:pPr>
              <w:jc w:val="center"/>
            </w:pPr>
            <w:r>
              <w:rPr>
                <w:sz w:val="19"/>
                <w:szCs w:val="19"/>
              </w:rPr>
              <w:t>✗</w:t>
            </w:r>
          </w:p>
        </w:tc>
      </w:tr>
      <w:tr w:rsidR="00C93607" w14:paraId="348DE098" w14:textId="77777777">
        <w:tblPrEx>
          <w:tblCellMar>
            <w:top w:w="0" w:type="dxa"/>
            <w:bottom w:w="0" w:type="dxa"/>
          </w:tblCellMar>
        </w:tblPrEx>
        <w:tc>
          <w:tcPr>
            <w:tcW w:w="4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17C5DE" w14:textId="77777777" w:rsidR="00C93607" w:rsidRDefault="00000000">
            <w:r>
              <w:rPr>
                <w:sz w:val="19"/>
                <w:szCs w:val="19"/>
              </w:rPr>
              <w:t>12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0EBC39" w14:textId="77777777" w:rsidR="00C93607" w:rsidRDefault="00000000">
            <w:pPr>
              <w:jc w:val="center"/>
            </w:pPr>
            <w:r>
              <w:rPr>
                <w:sz w:val="19"/>
                <w:szCs w:val="19"/>
              </w:rPr>
              <w:t>GEV</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57CA2C" w14:textId="77777777" w:rsidR="00C93607" w:rsidRDefault="00000000">
            <w:pPr>
              <w:jc w:val="center"/>
            </w:pPr>
            <w:r>
              <w:rPr>
                <w:sz w:val="19"/>
                <w:szCs w:val="19"/>
              </w:rPr>
              <w:t>1175.5</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F3D04D" w14:textId="77777777" w:rsidR="00C93607" w:rsidRDefault="00000000">
            <w:pPr>
              <w:jc w:val="center"/>
            </w:pPr>
            <w:r>
              <w:rPr>
                <w:sz w:val="19"/>
                <w:szCs w:val="19"/>
              </w:rPr>
              <w:t>1181.2</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8AFD67" w14:textId="77777777" w:rsidR="00C93607" w:rsidRDefault="00000000">
            <w:pPr>
              <w:jc w:val="center"/>
            </w:pPr>
            <w:r>
              <w:rPr>
                <w:sz w:val="19"/>
                <w:szCs w:val="19"/>
              </w:rPr>
              <w:t>1083.4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2833AF" w14:textId="77777777" w:rsidR="00C93607" w:rsidRDefault="00000000">
            <w:pPr>
              <w:jc w:val="center"/>
            </w:pPr>
            <w:r>
              <w:rPr>
                <w:sz w:val="19"/>
                <w:szCs w:val="19"/>
              </w:rPr>
              <w:t>≈0.000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537D32" w14:textId="77777777" w:rsidR="00C93607" w:rsidRDefault="00000000">
            <w:pPr>
              <w:jc w:val="center"/>
            </w:pPr>
            <w:r>
              <w:rPr>
                <w:sz w:val="19"/>
                <w:szCs w:val="19"/>
              </w:rPr>
              <w:t>0.000</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F6989E" w14:textId="77777777" w:rsidR="00C93607" w:rsidRDefault="00000000">
            <w:pPr>
              <w:jc w:val="center"/>
            </w:pPr>
            <w:r>
              <w:rPr>
                <w:sz w:val="19"/>
                <w:szCs w:val="19"/>
              </w:rPr>
              <w:t>—</w:t>
            </w:r>
          </w:p>
        </w:tc>
        <w:tc>
          <w:tcPr>
            <w:tcW w:w="6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49BABD" w14:textId="77777777" w:rsidR="00C93607" w:rsidRDefault="00000000">
            <w:pPr>
              <w:jc w:val="center"/>
            </w:pPr>
            <w:r>
              <w:rPr>
                <w:sz w:val="19"/>
                <w:szCs w:val="19"/>
              </w:rPr>
              <w:t>✗</w:t>
            </w:r>
          </w:p>
        </w:tc>
      </w:tr>
    </w:tbl>
    <w:p w14:paraId="41EDEB7B" w14:textId="77777777" w:rsidR="00C93607" w:rsidRDefault="00000000">
      <w:pPr>
        <w:spacing w:before="60" w:after="60" w:line="360" w:lineRule="auto"/>
        <w:jc w:val="both"/>
      </w:pPr>
      <w:r>
        <w:rPr>
          <w:color w:val="000000"/>
        </w:rPr>
        <w:t xml:space="preserve">The Log-Pearson III stands apart from all other distributions by a margin of nearly 890 </w:t>
      </w:r>
      <w:proofErr w:type="spellStart"/>
      <w:r>
        <w:rPr>
          <w:color w:val="000000"/>
        </w:rPr>
        <w:t>AICc</w:t>
      </w:r>
      <w:proofErr w:type="spellEnd"/>
      <w:r>
        <w:rPr>
          <w:color w:val="000000"/>
        </w:rPr>
        <w:t xml:space="preserve"> units — a difference that is, by the conventional Burnham and Anderson (2002) scale, absolutely conclusive evidence in favour of LP3 over all competitors. An </w:t>
      </w:r>
      <w:proofErr w:type="spellStart"/>
      <w:r>
        <w:rPr>
          <w:color w:val="000000"/>
        </w:rPr>
        <w:t>AICc</w:t>
      </w:r>
      <w:proofErr w:type="spellEnd"/>
      <w:r>
        <w:rPr>
          <w:color w:val="000000"/>
        </w:rPr>
        <w:t xml:space="preserve"> difference of 2 is already considered substantial; a difference of 890 is extraordinary and reflects the mathematical near-perfection of the log-space normality demonstrated earlier. The Akaike weight of 1.000 (rounded to four decimal places) means that in a model averaging framework, LP3 would receive 100% of the weight.</w:t>
      </w:r>
    </w:p>
    <w:p w14:paraId="5F6F935E" w14:textId="77777777" w:rsidR="00C93607" w:rsidRDefault="00000000">
      <w:pPr>
        <w:spacing w:before="120" w:after="60"/>
        <w:jc w:val="center"/>
      </w:pPr>
      <w:r>
        <w:rPr>
          <w:noProof/>
        </w:rPr>
        <w:drawing>
          <wp:inline distT="0" distB="0" distL="0" distR="0" wp14:anchorId="44C28747" wp14:editId="75CC8123">
            <wp:extent cx="5715000" cy="2238375"/>
            <wp:effectExtent l="0" t="0" r="0" b="0"/>
            <wp:docPr id="166732832" name="Picture 16673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38375"/>
                    </a:xfrm>
                    <a:prstGeom prst="rect">
                      <a:avLst/>
                    </a:prstGeom>
                  </pic:spPr>
                </pic:pic>
              </a:graphicData>
            </a:graphic>
          </wp:inline>
        </w:drawing>
      </w:r>
    </w:p>
    <w:p w14:paraId="56755424" w14:textId="77777777" w:rsidR="00C93607" w:rsidRDefault="00000000">
      <w:pPr>
        <w:spacing w:before="60" w:after="200"/>
        <w:jc w:val="center"/>
      </w:pPr>
      <w:r>
        <w:rPr>
          <w:rFonts w:ascii="Arial" w:eastAsia="Arial" w:hAnsi="Arial" w:cs="Arial"/>
          <w:i/>
          <w:iCs/>
          <w:color w:val="333333"/>
          <w:sz w:val="19"/>
          <w:szCs w:val="19"/>
        </w:rPr>
        <w:t xml:space="preserve">Figure 5. Goodness-of-fit radar chart comparing the top 5 distributions across three normalised criteria (R², KS p-value and </w:t>
      </w:r>
      <w:proofErr w:type="spellStart"/>
      <w:r>
        <w:rPr>
          <w:rFonts w:ascii="Arial" w:eastAsia="Arial" w:hAnsi="Arial" w:cs="Arial"/>
          <w:i/>
          <w:iCs/>
          <w:color w:val="333333"/>
          <w:sz w:val="19"/>
          <w:szCs w:val="19"/>
        </w:rPr>
        <w:t>AICc</w:t>
      </w:r>
      <w:proofErr w:type="spellEnd"/>
      <w:r>
        <w:rPr>
          <w:rFonts w:ascii="Arial" w:eastAsia="Arial" w:hAnsi="Arial" w:cs="Arial"/>
          <w:i/>
          <w:iCs/>
          <w:color w:val="333333"/>
          <w:sz w:val="19"/>
          <w:szCs w:val="19"/>
        </w:rPr>
        <w:t xml:space="preserve">). The Log-Pearson III (blue) covers the largest area, confirming its dominance. Weibull (EV3) and Pearson III perform similarly across R² and KS criteria but are substantially inferior on </w:t>
      </w:r>
      <w:proofErr w:type="spellStart"/>
      <w:r>
        <w:rPr>
          <w:rFonts w:ascii="Arial" w:eastAsia="Arial" w:hAnsi="Arial" w:cs="Arial"/>
          <w:i/>
          <w:iCs/>
          <w:color w:val="333333"/>
          <w:sz w:val="19"/>
          <w:szCs w:val="19"/>
        </w:rPr>
        <w:t>AICc</w:t>
      </w:r>
      <w:proofErr w:type="spellEnd"/>
      <w:r>
        <w:rPr>
          <w:rFonts w:ascii="Arial" w:eastAsia="Arial" w:hAnsi="Arial" w:cs="Arial"/>
          <w:i/>
          <w:iCs/>
          <w:color w:val="333333"/>
          <w:sz w:val="19"/>
          <w:szCs w:val="19"/>
        </w:rPr>
        <w:t>.</w:t>
      </w:r>
    </w:p>
    <w:p w14:paraId="6E29BE7E" w14:textId="77777777" w:rsidR="00C93607" w:rsidRDefault="00000000">
      <w:pPr>
        <w:spacing w:before="60" w:after="60" w:line="360" w:lineRule="auto"/>
        <w:jc w:val="both"/>
      </w:pPr>
      <w:r>
        <w:rPr>
          <w:color w:val="000000"/>
        </w:rPr>
        <w:t>That said, the practical differences between LP3, Weibull EV3 and Pearson III are small in the body of the distribution (return periods up to about 50 years), as can be seen in the Q-Q plots of Figure 6. The distributions begin to diverge significantly at return periods above 100 years — precisely where design uncertainty is most consequential for dam safety. In this upper extrapolation range, LP3 and LN2 give substantially higher estimates than the Gumbel, and Pearson III falls between them. For critical structures where the design return period exceeds 500 years, the choice of distribution therefore matters enormously.</w:t>
      </w:r>
    </w:p>
    <w:p w14:paraId="527DEAAC" w14:textId="77777777" w:rsidR="00C93607" w:rsidRDefault="00000000">
      <w:pPr>
        <w:spacing w:before="120" w:after="60"/>
        <w:jc w:val="center"/>
      </w:pPr>
      <w:r>
        <w:rPr>
          <w:noProof/>
        </w:rPr>
        <w:drawing>
          <wp:inline distT="0" distB="0" distL="0" distR="0" wp14:anchorId="41830D75" wp14:editId="5BA81127">
            <wp:extent cx="5715000" cy="3095625"/>
            <wp:effectExtent l="0" t="0" r="0" b="0"/>
            <wp:docPr id="916518776" name="Picture 91651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95625"/>
                    </a:xfrm>
                    <a:prstGeom prst="rect">
                      <a:avLst/>
                    </a:prstGeom>
                  </pic:spPr>
                </pic:pic>
              </a:graphicData>
            </a:graphic>
          </wp:inline>
        </w:drawing>
      </w:r>
    </w:p>
    <w:p w14:paraId="43A0AEE9" w14:textId="77777777" w:rsidR="00C93607" w:rsidRDefault="00000000">
      <w:pPr>
        <w:spacing w:before="60" w:after="200"/>
        <w:jc w:val="center"/>
      </w:pPr>
      <w:r>
        <w:rPr>
          <w:rFonts w:ascii="Arial" w:eastAsia="Arial" w:hAnsi="Arial" w:cs="Arial"/>
          <w:i/>
          <w:iCs/>
          <w:color w:val="333333"/>
          <w:sz w:val="19"/>
          <w:szCs w:val="19"/>
        </w:rPr>
        <w:t xml:space="preserve">Figure 6. Q-Q probability plots for the top 6 distributions ranked by </w:t>
      </w:r>
      <w:proofErr w:type="spellStart"/>
      <w:r>
        <w:rPr>
          <w:rFonts w:ascii="Arial" w:eastAsia="Arial" w:hAnsi="Arial" w:cs="Arial"/>
          <w:i/>
          <w:iCs/>
          <w:color w:val="333333"/>
          <w:sz w:val="19"/>
          <w:szCs w:val="19"/>
        </w:rPr>
        <w:t>AICc</w:t>
      </w:r>
      <w:proofErr w:type="spellEnd"/>
      <w:r>
        <w:rPr>
          <w:rFonts w:ascii="Arial" w:eastAsia="Arial" w:hAnsi="Arial" w:cs="Arial"/>
          <w:i/>
          <w:iCs/>
          <w:color w:val="333333"/>
          <w:sz w:val="19"/>
          <w:szCs w:val="19"/>
        </w:rPr>
        <w:t>. Each panel shows observed vs fitted quantiles with R² values: LP3 (not shown as R² value is computed differently), Weibull EV3 (R² = 0.988), Pearson III (R² = 0.989), Log-Normal LN2 (R² = 0.983), Generalised Pareto (R² = 0.969) and Exponential (R² = 0.948). All pass the 1:1 line test well in the body of the distribution; LP3, P3 and LN2 show the best alignment in the upper tail.</w:t>
      </w:r>
    </w:p>
    <w:p w14:paraId="0663061A" w14:textId="77777777" w:rsidR="00C93607" w:rsidRDefault="00000000">
      <w:pPr>
        <w:spacing w:before="60" w:after="60" w:line="360" w:lineRule="auto"/>
        <w:jc w:val="both"/>
      </w:pPr>
      <w:r>
        <w:rPr>
          <w:color w:val="000000"/>
        </w:rPr>
        <w:t>It is worth noting that the GEV distribution — which is theoretically the most general extreme value distribution and might be expected to perform well — performed catastrophically in this analysis (</w:t>
      </w:r>
      <w:proofErr w:type="spellStart"/>
      <w:r>
        <w:rPr>
          <w:color w:val="000000"/>
        </w:rPr>
        <w:t>AICc</w:t>
      </w:r>
      <w:proofErr w:type="spellEnd"/>
      <w:r>
        <w:rPr>
          <w:color w:val="000000"/>
        </w:rPr>
        <w:t xml:space="preserve"> = 1175.5, KS fail). This is a well-known problem with over-parameterised distributions when sample sizes are small: the three GEV parameters cannot be reliably estimated from 57 observations, and the numerical optimisation converges to physically unreasonable solutions. The Kappa-4 distribution shows the same pathology. This finding reinforces a general principle in applied statistics: more flexible models are not always better when data are limited.</w:t>
      </w:r>
    </w:p>
    <w:p w14:paraId="1FEDC4AD" w14:textId="77777777" w:rsidR="00C93607" w:rsidRDefault="00000000">
      <w:pPr>
        <w:pStyle w:val="Heading2"/>
      </w:pPr>
      <w:r>
        <w:rPr>
          <w:color w:val="1A6B5A"/>
        </w:rPr>
        <w:t>5.4  Design Flood Estimation and Uncertainty Quantification (Objective 3)</w:t>
      </w:r>
    </w:p>
    <w:p w14:paraId="7F9EE148" w14:textId="77777777" w:rsidR="00C93607" w:rsidRDefault="00000000">
      <w:pPr>
        <w:pStyle w:val="Heading3"/>
      </w:pPr>
      <w:r>
        <w:rPr>
          <w:color w:val="334455"/>
        </w:rPr>
        <w:t>5.4.1  The Flood Frequency Curves</w:t>
      </w:r>
    </w:p>
    <w:p w14:paraId="0D358F74" w14:textId="77777777" w:rsidR="00C93607" w:rsidRDefault="00000000">
      <w:pPr>
        <w:spacing w:before="120" w:after="60"/>
        <w:jc w:val="center"/>
      </w:pPr>
      <w:r>
        <w:rPr>
          <w:noProof/>
        </w:rPr>
        <w:drawing>
          <wp:inline distT="0" distB="0" distL="0" distR="0" wp14:anchorId="59A6E23A" wp14:editId="7241BBD6">
            <wp:extent cx="5715000" cy="2981325"/>
            <wp:effectExtent l="0" t="0" r="0" b="0"/>
            <wp:docPr id="1479157563" name="Picture 147915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981325"/>
                    </a:xfrm>
                    <a:prstGeom prst="rect">
                      <a:avLst/>
                    </a:prstGeom>
                  </pic:spPr>
                </pic:pic>
              </a:graphicData>
            </a:graphic>
          </wp:inline>
        </w:drawing>
      </w:r>
    </w:p>
    <w:p w14:paraId="5ACD1833" w14:textId="77777777" w:rsidR="00C93607" w:rsidRDefault="00000000">
      <w:pPr>
        <w:spacing w:before="60" w:after="200"/>
        <w:jc w:val="center"/>
      </w:pPr>
      <w:r>
        <w:rPr>
          <w:rFonts w:ascii="Arial" w:eastAsia="Arial" w:hAnsi="Arial" w:cs="Arial"/>
          <w:i/>
          <w:iCs/>
          <w:color w:val="333333"/>
          <w:sz w:val="19"/>
          <w:szCs w:val="19"/>
        </w:rPr>
        <w:t>Figure 7. Flood frequency curves for all 12 distributions on a log-probability scale. The shaded band shows the 95% bootstrap confidence interval for the Gumbel distribution. Observed data points (Weibull plotting positions) are shown as filled circles. Note the convergence of most distributions for T &lt; 25 years and the significant divergence for T &gt; 100 years, particularly between LP3/LN2 and Gumbel/P3.</w:t>
      </w:r>
    </w:p>
    <w:p w14:paraId="09264C2D" w14:textId="77777777" w:rsidR="00C93607" w:rsidRDefault="00000000">
      <w:pPr>
        <w:spacing w:before="60" w:after="60" w:line="360" w:lineRule="auto"/>
        <w:jc w:val="both"/>
      </w:pPr>
      <w:r>
        <w:rPr>
          <w:color w:val="000000"/>
        </w:rPr>
        <w:t>Figure 7 immediately reveals the most important engineering insight from this study: all the distributions give similar answers for common events (return periods up to about 25 years), but they diverge dramatically for rare events. For the 10-year flood — relevant to minor bridges and drainage design — estimates range from 4,629 (Gumbel) to 4,953 m³/s (P3), a spread of only 7%. For the 1,000-year flood — relevant to large dam spillways — estimates range from 9,687 (Gumbel) to 14,511 m³/s (LN2), a spread of 50%. This growing divergence with return period is an inherent feature of probability extrapolation and is the fundamental reason why choosing the right distribution matters more for dam safety than for bridge design.</w:t>
      </w:r>
    </w:p>
    <w:p w14:paraId="1D450030" w14:textId="77777777" w:rsidR="00C93607" w:rsidRDefault="00000000">
      <w:pPr>
        <w:spacing w:before="160" w:after="60"/>
      </w:pPr>
      <w:r>
        <w:rPr>
          <w:rFonts w:ascii="Arial" w:eastAsia="Arial" w:hAnsi="Arial" w:cs="Arial"/>
          <w:b/>
          <w:bCs/>
          <w:color w:val="1B3A6B"/>
          <w:sz w:val="20"/>
          <w:szCs w:val="20"/>
        </w:rPr>
        <w:t>Table 5. Design flood estimates (m³/s) for Karad station across all major return periods and distributions, with 95% bootstrap CI for Gumbel</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
        <w:gridCol w:w="909"/>
        <w:gridCol w:w="849"/>
        <w:gridCol w:w="848"/>
        <w:gridCol w:w="848"/>
        <w:gridCol w:w="876"/>
        <w:gridCol w:w="844"/>
        <w:gridCol w:w="842"/>
        <w:gridCol w:w="848"/>
        <w:gridCol w:w="755"/>
      </w:tblGrid>
      <w:tr w:rsidR="00C93607" w14:paraId="3CC27BDE" w14:textId="77777777">
        <w:tblPrEx>
          <w:tblCellMar>
            <w:top w:w="0" w:type="dxa"/>
            <w:bottom w:w="0" w:type="dxa"/>
          </w:tblCellMar>
        </w:tblPrEx>
        <w:trPr>
          <w:tblHeader/>
        </w:trPr>
        <w:tc>
          <w:tcPr>
            <w:tcW w:w="5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B2500DC" w14:textId="77777777" w:rsidR="00C93607" w:rsidRDefault="00000000">
            <w:pPr>
              <w:jc w:val="center"/>
            </w:pPr>
            <w:r>
              <w:rPr>
                <w:rFonts w:ascii="Arial" w:eastAsia="Arial" w:hAnsi="Arial" w:cs="Arial"/>
                <w:b/>
                <w:bCs/>
                <w:color w:val="FFFFFF"/>
                <w:sz w:val="19"/>
                <w:szCs w:val="19"/>
              </w:rPr>
              <w:t>T (yr)</w:t>
            </w:r>
          </w:p>
        </w:tc>
        <w:tc>
          <w:tcPr>
            <w:tcW w:w="8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59EE671" w14:textId="77777777" w:rsidR="00C93607" w:rsidRDefault="00000000">
            <w:pPr>
              <w:jc w:val="center"/>
            </w:pPr>
            <w:r>
              <w:rPr>
                <w:rFonts w:ascii="Arial" w:eastAsia="Arial" w:hAnsi="Arial" w:cs="Arial"/>
                <w:b/>
                <w:bCs/>
                <w:color w:val="FFFFFF"/>
                <w:sz w:val="19"/>
                <w:szCs w:val="19"/>
              </w:rPr>
              <w:t>Gumbel</w:t>
            </w:r>
          </w:p>
        </w:tc>
        <w:tc>
          <w:tcPr>
            <w:tcW w:w="8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BFB53E4" w14:textId="77777777" w:rsidR="00C93607" w:rsidRDefault="00000000">
            <w:pPr>
              <w:jc w:val="center"/>
            </w:pPr>
            <w:r>
              <w:rPr>
                <w:rFonts w:ascii="Arial" w:eastAsia="Arial" w:hAnsi="Arial" w:cs="Arial"/>
                <w:b/>
                <w:bCs/>
                <w:color w:val="FFFFFF"/>
                <w:sz w:val="19"/>
                <w:szCs w:val="19"/>
              </w:rPr>
              <w:t>LN2</w:t>
            </w:r>
          </w:p>
        </w:tc>
        <w:tc>
          <w:tcPr>
            <w:tcW w:w="8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3CE3FAD" w14:textId="77777777" w:rsidR="00C93607" w:rsidRDefault="00000000">
            <w:pPr>
              <w:jc w:val="center"/>
            </w:pPr>
            <w:r>
              <w:rPr>
                <w:rFonts w:ascii="Arial" w:eastAsia="Arial" w:hAnsi="Arial" w:cs="Arial"/>
                <w:b/>
                <w:bCs/>
                <w:color w:val="FFFFFF"/>
                <w:sz w:val="19"/>
                <w:szCs w:val="19"/>
              </w:rPr>
              <w:t>P3</w:t>
            </w:r>
          </w:p>
        </w:tc>
        <w:tc>
          <w:tcPr>
            <w:tcW w:w="8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A6D8E44" w14:textId="77777777" w:rsidR="00C93607" w:rsidRDefault="00000000">
            <w:pPr>
              <w:jc w:val="center"/>
            </w:pPr>
            <w:r>
              <w:rPr>
                <w:rFonts w:ascii="Arial" w:eastAsia="Arial" w:hAnsi="Arial" w:cs="Arial"/>
                <w:b/>
                <w:bCs/>
                <w:color w:val="FFFFFF"/>
                <w:sz w:val="19"/>
                <w:szCs w:val="19"/>
              </w:rPr>
              <w:t>LP3</w:t>
            </w:r>
          </w:p>
        </w:tc>
        <w:tc>
          <w:tcPr>
            <w:tcW w:w="8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7F785F1" w14:textId="77777777" w:rsidR="00C93607" w:rsidRDefault="00000000">
            <w:pPr>
              <w:jc w:val="center"/>
            </w:pPr>
            <w:r>
              <w:rPr>
                <w:rFonts w:ascii="Arial" w:eastAsia="Arial" w:hAnsi="Arial" w:cs="Arial"/>
                <w:b/>
                <w:bCs/>
                <w:color w:val="FFFFFF"/>
                <w:sz w:val="19"/>
                <w:szCs w:val="19"/>
              </w:rPr>
              <w:t>Weibull</w:t>
            </w:r>
          </w:p>
        </w:tc>
        <w:tc>
          <w:tcPr>
            <w:tcW w:w="8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DDA5413" w14:textId="77777777" w:rsidR="00C93607" w:rsidRDefault="00000000">
            <w:pPr>
              <w:jc w:val="center"/>
            </w:pPr>
            <w:r>
              <w:rPr>
                <w:rFonts w:ascii="Arial" w:eastAsia="Arial" w:hAnsi="Arial" w:cs="Arial"/>
                <w:b/>
                <w:bCs/>
                <w:color w:val="FFFFFF"/>
                <w:sz w:val="19"/>
                <w:szCs w:val="19"/>
              </w:rPr>
              <w:t>GPD</w:t>
            </w:r>
          </w:p>
        </w:tc>
        <w:tc>
          <w:tcPr>
            <w:tcW w:w="8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BD861E6" w14:textId="77777777" w:rsidR="00C93607" w:rsidRDefault="00000000">
            <w:pPr>
              <w:jc w:val="center"/>
            </w:pPr>
            <w:r>
              <w:rPr>
                <w:rFonts w:ascii="Arial" w:eastAsia="Arial" w:hAnsi="Arial" w:cs="Arial"/>
                <w:b/>
                <w:bCs/>
                <w:color w:val="FFFFFF"/>
                <w:sz w:val="19"/>
                <w:szCs w:val="19"/>
              </w:rPr>
              <w:t>CI Lo</w:t>
            </w:r>
          </w:p>
        </w:tc>
        <w:tc>
          <w:tcPr>
            <w:tcW w:w="8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7309E47" w14:textId="77777777" w:rsidR="00C93607" w:rsidRDefault="00000000">
            <w:pPr>
              <w:jc w:val="center"/>
            </w:pPr>
            <w:r>
              <w:rPr>
                <w:rFonts w:ascii="Arial" w:eastAsia="Arial" w:hAnsi="Arial" w:cs="Arial"/>
                <w:b/>
                <w:bCs/>
                <w:color w:val="FFFFFF"/>
                <w:sz w:val="19"/>
                <w:szCs w:val="19"/>
              </w:rPr>
              <w:t>CI Hi</w:t>
            </w:r>
          </w:p>
        </w:tc>
        <w:tc>
          <w:tcPr>
            <w:tcW w:w="7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F34EF05" w14:textId="77777777" w:rsidR="00C93607" w:rsidRDefault="00000000">
            <w:pPr>
              <w:jc w:val="center"/>
            </w:pPr>
            <w:r>
              <w:rPr>
                <w:rFonts w:ascii="Arial" w:eastAsia="Arial" w:hAnsi="Arial" w:cs="Arial"/>
                <w:b/>
                <w:bCs/>
                <w:color w:val="FFFFFF"/>
                <w:sz w:val="19"/>
                <w:szCs w:val="19"/>
              </w:rPr>
              <w:t>MC Mean</w:t>
            </w:r>
          </w:p>
        </w:tc>
      </w:tr>
      <w:tr w:rsidR="00C93607" w14:paraId="1718F571"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C16C074" w14:textId="77777777" w:rsidR="00C93607" w:rsidRDefault="00000000">
            <w:r>
              <w:rPr>
                <w:sz w:val="19"/>
                <w:szCs w:val="19"/>
              </w:rPr>
              <w:t>2</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E1DC95" w14:textId="77777777" w:rsidR="00C93607" w:rsidRDefault="00000000">
            <w:pPr>
              <w:jc w:val="center"/>
            </w:pPr>
            <w:r>
              <w:rPr>
                <w:sz w:val="19"/>
                <w:szCs w:val="19"/>
              </w:rPr>
              <w:t>2583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6D8340A" w14:textId="77777777" w:rsidR="00C93607" w:rsidRDefault="00000000">
            <w:pPr>
              <w:jc w:val="center"/>
            </w:pPr>
            <w:r>
              <w:rPr>
                <w:sz w:val="19"/>
                <w:szCs w:val="19"/>
              </w:rPr>
              <w:t>2436</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5163C2" w14:textId="77777777" w:rsidR="00C93607" w:rsidRDefault="00000000">
            <w:pPr>
              <w:jc w:val="center"/>
            </w:pPr>
            <w:r>
              <w:rPr>
                <w:sz w:val="19"/>
                <w:szCs w:val="19"/>
              </w:rPr>
              <w:t>2473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06CFAB1" w14:textId="77777777" w:rsidR="00C93607" w:rsidRDefault="00000000">
            <w:pPr>
              <w:jc w:val="center"/>
            </w:pPr>
            <w:r>
              <w:rPr>
                <w:sz w:val="19"/>
                <w:szCs w:val="19"/>
              </w:rPr>
              <w:t>2462</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FDA43BF" w14:textId="77777777" w:rsidR="00C93607" w:rsidRDefault="00000000">
            <w:pPr>
              <w:jc w:val="center"/>
            </w:pPr>
            <w:r>
              <w:rPr>
                <w:sz w:val="19"/>
                <w:szCs w:val="19"/>
              </w:rPr>
              <w:t>2509</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65E25B" w14:textId="77777777" w:rsidR="00C93607" w:rsidRDefault="00000000">
            <w:pPr>
              <w:jc w:val="center"/>
            </w:pPr>
            <w:r>
              <w:rPr>
                <w:sz w:val="19"/>
                <w:szCs w:val="19"/>
              </w:rPr>
              <w:t>—</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6A9B386" w14:textId="77777777" w:rsidR="00C93607" w:rsidRDefault="00000000">
            <w:pPr>
              <w:jc w:val="center"/>
            </w:pPr>
            <w:r>
              <w:rPr>
                <w:sz w:val="19"/>
                <w:szCs w:val="19"/>
              </w:rPr>
              <w:t>2257</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758D5E6" w14:textId="77777777" w:rsidR="00C93607" w:rsidRDefault="00000000">
            <w:pPr>
              <w:jc w:val="center"/>
            </w:pPr>
            <w:r>
              <w:rPr>
                <w:sz w:val="19"/>
                <w:szCs w:val="19"/>
              </w:rPr>
              <w:t>2960</w:t>
            </w:r>
          </w:p>
        </w:tc>
        <w:tc>
          <w:tcPr>
            <w:tcW w:w="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612B791" w14:textId="77777777" w:rsidR="00C93607" w:rsidRDefault="00000000">
            <w:pPr>
              <w:jc w:val="center"/>
            </w:pPr>
            <w:r>
              <w:rPr>
                <w:sz w:val="19"/>
                <w:szCs w:val="19"/>
              </w:rPr>
              <w:t>2570</w:t>
            </w:r>
          </w:p>
        </w:tc>
      </w:tr>
      <w:tr w:rsidR="00C93607" w14:paraId="45DF1305"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8CB9A2" w14:textId="77777777" w:rsidR="00C93607" w:rsidRDefault="00000000">
            <w:r>
              <w:rPr>
                <w:sz w:val="19"/>
                <w:szCs w:val="19"/>
              </w:rPr>
              <w:t>5</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BA3D90" w14:textId="77777777" w:rsidR="00C93607" w:rsidRDefault="00000000">
            <w:pPr>
              <w:jc w:val="center"/>
            </w:pPr>
            <w:r>
              <w:rPr>
                <w:sz w:val="19"/>
                <w:szCs w:val="19"/>
              </w:rPr>
              <w:t>3814</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D8A29D" w14:textId="77777777" w:rsidR="00C93607" w:rsidRDefault="00000000">
            <w:pPr>
              <w:jc w:val="center"/>
            </w:pPr>
            <w:r>
              <w:rPr>
                <w:sz w:val="19"/>
                <w:szCs w:val="19"/>
              </w:rPr>
              <w:t>3852</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E3510E" w14:textId="77777777" w:rsidR="00C93607" w:rsidRDefault="00000000">
            <w:pPr>
              <w:jc w:val="center"/>
            </w:pPr>
            <w:r>
              <w:rPr>
                <w:sz w:val="19"/>
                <w:szCs w:val="19"/>
              </w:rPr>
              <w:t>3937</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A94EC4" w14:textId="77777777" w:rsidR="00C93607" w:rsidRDefault="00000000">
            <w:pPr>
              <w:jc w:val="center"/>
            </w:pPr>
            <w:r>
              <w:rPr>
                <w:sz w:val="19"/>
                <w:szCs w:val="19"/>
              </w:rPr>
              <w:t>3839</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3F9663" w14:textId="77777777" w:rsidR="00C93607" w:rsidRDefault="00000000">
            <w:pPr>
              <w:jc w:val="center"/>
            </w:pPr>
            <w:r>
              <w:rPr>
                <w:sz w:val="19"/>
                <w:szCs w:val="19"/>
              </w:rPr>
              <w:t>3976</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791DFE" w14:textId="77777777" w:rsidR="00C93607" w:rsidRDefault="00000000">
            <w:pPr>
              <w:jc w:val="center"/>
            </w:pPr>
            <w:r>
              <w:rPr>
                <w:sz w:val="19"/>
                <w:szCs w:val="19"/>
              </w:rPr>
              <w:t>—</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8084CB" w14:textId="77777777" w:rsidR="00C93607" w:rsidRDefault="00000000">
            <w:pPr>
              <w:jc w:val="center"/>
            </w:pPr>
            <w:r>
              <w:rPr>
                <w:sz w:val="19"/>
                <w:szCs w:val="19"/>
              </w:rPr>
              <w:t>3257</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7352B0" w14:textId="77777777" w:rsidR="00C93607" w:rsidRDefault="00000000">
            <w:pPr>
              <w:jc w:val="center"/>
            </w:pPr>
            <w:r>
              <w:rPr>
                <w:sz w:val="19"/>
                <w:szCs w:val="19"/>
              </w:rPr>
              <w:t>4414</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37F5D6" w14:textId="77777777" w:rsidR="00C93607" w:rsidRDefault="00000000">
            <w:pPr>
              <w:jc w:val="center"/>
            </w:pPr>
            <w:r>
              <w:rPr>
                <w:sz w:val="19"/>
                <w:szCs w:val="19"/>
              </w:rPr>
              <w:t>3790</w:t>
            </w:r>
          </w:p>
        </w:tc>
      </w:tr>
      <w:tr w:rsidR="00C93607" w14:paraId="56A6FCB4"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9E97F76" w14:textId="77777777" w:rsidR="00C93607" w:rsidRDefault="00000000">
            <w:r>
              <w:rPr>
                <w:sz w:val="19"/>
                <w:szCs w:val="19"/>
              </w:rPr>
              <w:t>10</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DCB80C6" w14:textId="77777777" w:rsidR="00C93607" w:rsidRDefault="00000000">
            <w:pPr>
              <w:jc w:val="center"/>
            </w:pPr>
            <w:r>
              <w:rPr>
                <w:sz w:val="19"/>
                <w:szCs w:val="19"/>
              </w:rPr>
              <w:t>4629</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17FA87" w14:textId="77777777" w:rsidR="00C93607" w:rsidRDefault="00000000">
            <w:pPr>
              <w:jc w:val="center"/>
            </w:pPr>
            <w:r>
              <w:rPr>
                <w:sz w:val="19"/>
                <w:szCs w:val="19"/>
              </w:rPr>
              <w:t>4948</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9F2FBA2" w14:textId="77777777" w:rsidR="00C93607" w:rsidRDefault="00000000">
            <w:pPr>
              <w:jc w:val="center"/>
            </w:pPr>
            <w:r>
              <w:rPr>
                <w:sz w:val="19"/>
                <w:szCs w:val="19"/>
              </w:rPr>
              <w:t>4953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9AC79F2" w14:textId="77777777" w:rsidR="00C93607" w:rsidRDefault="00000000">
            <w:pPr>
              <w:jc w:val="center"/>
            </w:pPr>
            <w:r>
              <w:rPr>
                <w:sz w:val="19"/>
                <w:szCs w:val="19"/>
              </w:rPr>
              <w:t>4889</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8CF421B" w14:textId="77777777" w:rsidR="00C93607" w:rsidRDefault="00000000">
            <w:pPr>
              <w:jc w:val="center"/>
            </w:pPr>
            <w:r>
              <w:rPr>
                <w:sz w:val="19"/>
                <w:szCs w:val="19"/>
              </w:rPr>
              <w:t>4938</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227F620" w14:textId="77777777" w:rsidR="00C93607" w:rsidRDefault="00000000">
            <w:pPr>
              <w:jc w:val="center"/>
            </w:pPr>
            <w:r>
              <w:rPr>
                <w:sz w:val="19"/>
                <w:szCs w:val="19"/>
              </w:rPr>
              <w:t>5439</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21A0E2F" w14:textId="77777777" w:rsidR="00C93607" w:rsidRDefault="00000000">
            <w:pPr>
              <w:jc w:val="center"/>
            </w:pPr>
            <w:r>
              <w:rPr>
                <w:sz w:val="19"/>
                <w:szCs w:val="19"/>
              </w:rPr>
              <w:t>3905</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C9ECB8F" w14:textId="77777777" w:rsidR="00C93607" w:rsidRDefault="00000000">
            <w:pPr>
              <w:jc w:val="center"/>
            </w:pPr>
            <w:r>
              <w:rPr>
                <w:sz w:val="19"/>
                <w:szCs w:val="19"/>
              </w:rPr>
              <w:t>5387</w:t>
            </w:r>
          </w:p>
        </w:tc>
        <w:tc>
          <w:tcPr>
            <w:tcW w:w="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F4066B" w14:textId="77777777" w:rsidR="00C93607" w:rsidRDefault="00000000">
            <w:pPr>
              <w:jc w:val="center"/>
            </w:pPr>
            <w:r>
              <w:rPr>
                <w:sz w:val="19"/>
                <w:szCs w:val="19"/>
              </w:rPr>
              <w:t>4613</w:t>
            </w:r>
          </w:p>
        </w:tc>
      </w:tr>
      <w:tr w:rsidR="00C93607" w14:paraId="4247CFF2"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396A51" w14:textId="77777777" w:rsidR="00C93607" w:rsidRDefault="00000000">
            <w:r>
              <w:rPr>
                <w:sz w:val="19"/>
                <w:szCs w:val="19"/>
              </w:rPr>
              <w:t>25</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B098F7" w14:textId="77777777" w:rsidR="00C93607" w:rsidRDefault="00000000">
            <w:pPr>
              <w:jc w:val="center"/>
            </w:pPr>
            <w:r>
              <w:rPr>
                <w:sz w:val="19"/>
                <w:szCs w:val="19"/>
              </w:rPr>
              <w:t>5659</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E91904" w14:textId="77777777" w:rsidR="00C93607" w:rsidRDefault="00000000">
            <w:pPr>
              <w:jc w:val="center"/>
            </w:pPr>
            <w:r>
              <w:rPr>
                <w:sz w:val="19"/>
                <w:szCs w:val="19"/>
              </w:rPr>
              <w:t>6501</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718DC3" w14:textId="77777777" w:rsidR="00C93607" w:rsidRDefault="00000000">
            <w:pPr>
              <w:jc w:val="center"/>
            </w:pPr>
            <w:r>
              <w:rPr>
                <w:sz w:val="19"/>
                <w:szCs w:val="19"/>
              </w:rPr>
              <w:t>6241</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584D7A" w14:textId="77777777" w:rsidR="00C93607" w:rsidRDefault="00000000">
            <w:pPr>
              <w:jc w:val="center"/>
            </w:pPr>
            <w:r>
              <w:rPr>
                <w:sz w:val="19"/>
                <w:szCs w:val="19"/>
              </w:rPr>
              <w:t>6375</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A120C8" w14:textId="77777777" w:rsidR="00C93607" w:rsidRDefault="00000000">
            <w:pPr>
              <w:jc w:val="center"/>
            </w:pPr>
            <w:r>
              <w:rPr>
                <w:sz w:val="19"/>
                <w:szCs w:val="19"/>
              </w:rPr>
              <w:t>6103</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735BDE" w14:textId="77777777" w:rsidR="00C93607" w:rsidRDefault="00000000">
            <w:pPr>
              <w:jc w:val="center"/>
            </w:pPr>
            <w:r>
              <w:rPr>
                <w:sz w:val="19"/>
                <w:szCs w:val="19"/>
              </w:rPr>
              <w:t>6382</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982ADD" w14:textId="77777777" w:rsidR="00C93607" w:rsidRDefault="00000000">
            <w:pPr>
              <w:jc w:val="center"/>
            </w:pPr>
            <w:r>
              <w:rPr>
                <w:sz w:val="19"/>
                <w:szCs w:val="19"/>
              </w:rPr>
              <w:t>4724</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B14A9D" w14:textId="77777777" w:rsidR="00C93607" w:rsidRDefault="00000000">
            <w:pPr>
              <w:jc w:val="center"/>
            </w:pPr>
            <w:r>
              <w:rPr>
                <w:sz w:val="19"/>
                <w:szCs w:val="19"/>
              </w:rPr>
              <w:t>6626</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8812D9" w14:textId="77777777" w:rsidR="00C93607" w:rsidRDefault="00000000">
            <w:pPr>
              <w:jc w:val="center"/>
            </w:pPr>
            <w:r>
              <w:rPr>
                <w:sz w:val="19"/>
                <w:szCs w:val="19"/>
              </w:rPr>
              <w:t>5637</w:t>
            </w:r>
          </w:p>
        </w:tc>
      </w:tr>
      <w:tr w:rsidR="00C93607" w14:paraId="05942584"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8014AD5" w14:textId="77777777" w:rsidR="00C93607" w:rsidRDefault="00000000">
            <w:r>
              <w:rPr>
                <w:sz w:val="19"/>
                <w:szCs w:val="19"/>
              </w:rPr>
              <w:t>50</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4A0B800" w14:textId="77777777" w:rsidR="00C93607" w:rsidRDefault="00000000">
            <w:pPr>
              <w:jc w:val="center"/>
            </w:pPr>
            <w:r>
              <w:rPr>
                <w:sz w:val="19"/>
                <w:szCs w:val="19"/>
              </w:rPr>
              <w:t>6423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4BFC40B" w14:textId="77777777" w:rsidR="00C93607" w:rsidRDefault="00000000">
            <w:pPr>
              <w:jc w:val="center"/>
            </w:pPr>
            <w:r>
              <w:rPr>
                <w:sz w:val="19"/>
                <w:szCs w:val="19"/>
              </w:rPr>
              <w:t>7776</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BD0D75A" w14:textId="77777777" w:rsidR="00C93607" w:rsidRDefault="00000000">
            <w:pPr>
              <w:jc w:val="center"/>
            </w:pPr>
            <w:r>
              <w:rPr>
                <w:sz w:val="19"/>
                <w:szCs w:val="19"/>
              </w:rPr>
              <w:t>7190</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5E26D1E" w14:textId="77777777" w:rsidR="00C93607" w:rsidRDefault="00000000">
            <w:pPr>
              <w:jc w:val="center"/>
            </w:pPr>
            <w:r>
              <w:rPr>
                <w:sz w:val="19"/>
                <w:szCs w:val="19"/>
              </w:rPr>
              <w:t>7598</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A80CE12" w14:textId="77777777" w:rsidR="00C93607" w:rsidRDefault="00000000">
            <w:pPr>
              <w:jc w:val="center"/>
            </w:pPr>
            <w:r>
              <w:rPr>
                <w:sz w:val="19"/>
                <w:szCs w:val="19"/>
              </w:rPr>
              <w:t>6928</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A6E6EE5" w14:textId="77777777" w:rsidR="00C93607" w:rsidRDefault="00000000">
            <w:pPr>
              <w:jc w:val="center"/>
            </w:pPr>
            <w:r>
              <w:rPr>
                <w:sz w:val="19"/>
                <w:szCs w:val="19"/>
              </w:rPr>
              <w:t>6757</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9A0FF51" w14:textId="77777777" w:rsidR="00C93607" w:rsidRDefault="00000000">
            <w:pPr>
              <w:jc w:val="center"/>
            </w:pPr>
            <w:r>
              <w:rPr>
                <w:sz w:val="19"/>
                <w:szCs w:val="19"/>
              </w:rPr>
              <w:t>5323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06F7BC6" w14:textId="77777777" w:rsidR="00C93607" w:rsidRDefault="00000000">
            <w:pPr>
              <w:jc w:val="center"/>
            </w:pPr>
            <w:r>
              <w:rPr>
                <w:sz w:val="19"/>
                <w:szCs w:val="19"/>
              </w:rPr>
              <w:t>7543</w:t>
            </w:r>
          </w:p>
        </w:tc>
        <w:tc>
          <w:tcPr>
            <w:tcW w:w="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EC415B" w14:textId="77777777" w:rsidR="00C93607" w:rsidRDefault="00000000">
            <w:pPr>
              <w:jc w:val="center"/>
            </w:pPr>
            <w:r>
              <w:rPr>
                <w:sz w:val="19"/>
                <w:szCs w:val="19"/>
              </w:rPr>
              <w:t>6405</w:t>
            </w:r>
          </w:p>
        </w:tc>
      </w:tr>
      <w:tr w:rsidR="00C93607" w14:paraId="6A434B3B"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6FEA2F" w14:textId="77777777" w:rsidR="00C93607" w:rsidRDefault="00000000">
            <w:r>
              <w:rPr>
                <w:sz w:val="19"/>
                <w:szCs w:val="19"/>
              </w:rPr>
              <w:t>100</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77CD84" w14:textId="77777777" w:rsidR="00C93607" w:rsidRDefault="00000000">
            <w:pPr>
              <w:jc w:val="center"/>
            </w:pPr>
            <w:r>
              <w:rPr>
                <w:sz w:val="19"/>
                <w:szCs w:val="19"/>
              </w:rPr>
              <w:t>7181</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13FC85" w14:textId="77777777" w:rsidR="00C93607" w:rsidRDefault="00000000">
            <w:pPr>
              <w:jc w:val="center"/>
            </w:pPr>
            <w:r>
              <w:rPr>
                <w:sz w:val="19"/>
                <w:szCs w:val="19"/>
              </w:rPr>
              <w:t>9149</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CB63AB" w14:textId="77777777" w:rsidR="00C93607" w:rsidRDefault="00000000">
            <w:pPr>
              <w:jc w:val="center"/>
            </w:pPr>
            <w:r>
              <w:rPr>
                <w:sz w:val="19"/>
                <w:szCs w:val="19"/>
              </w:rPr>
              <w:t>8123</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BB596F" w14:textId="77777777" w:rsidR="00C93607" w:rsidRDefault="00000000">
            <w:pPr>
              <w:jc w:val="center"/>
            </w:pPr>
            <w:r>
              <w:rPr>
                <w:sz w:val="19"/>
                <w:szCs w:val="19"/>
              </w:rPr>
              <w:t>8923</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62C7A6" w14:textId="77777777" w:rsidR="00C93607" w:rsidRDefault="00000000">
            <w:pPr>
              <w:jc w:val="center"/>
            </w:pPr>
            <w:r>
              <w:rPr>
                <w:sz w:val="19"/>
                <w:szCs w:val="19"/>
              </w:rPr>
              <w:t>7716</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91FA5B" w14:textId="77777777" w:rsidR="00C93607" w:rsidRDefault="00000000">
            <w:pPr>
              <w:jc w:val="center"/>
            </w:pPr>
            <w:r>
              <w:rPr>
                <w:sz w:val="19"/>
                <w:szCs w:val="19"/>
              </w:rPr>
              <w:t>6973</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3E40BE" w14:textId="77777777" w:rsidR="00C93607" w:rsidRDefault="00000000">
            <w:pPr>
              <w:jc w:val="center"/>
            </w:pPr>
            <w:r>
              <w:rPr>
                <w:sz w:val="19"/>
                <w:szCs w:val="19"/>
              </w:rPr>
              <w:t>5923</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4657AB" w14:textId="77777777" w:rsidR="00C93607" w:rsidRDefault="00000000">
            <w:pPr>
              <w:jc w:val="center"/>
            </w:pPr>
            <w:r>
              <w:rPr>
                <w:sz w:val="19"/>
                <w:szCs w:val="19"/>
              </w:rPr>
              <w:t>8458</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9E2020" w14:textId="77777777" w:rsidR="00C93607" w:rsidRDefault="00000000">
            <w:pPr>
              <w:jc w:val="center"/>
            </w:pPr>
            <w:r>
              <w:rPr>
                <w:sz w:val="19"/>
                <w:szCs w:val="19"/>
              </w:rPr>
              <w:t>7141</w:t>
            </w:r>
          </w:p>
        </w:tc>
      </w:tr>
      <w:tr w:rsidR="00C93607" w14:paraId="3D4EFE01"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AA0DF2" w14:textId="77777777" w:rsidR="00C93607" w:rsidRDefault="00000000">
            <w:r>
              <w:rPr>
                <w:sz w:val="19"/>
                <w:szCs w:val="19"/>
              </w:rPr>
              <w:t>200</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0E5CBE4" w14:textId="77777777" w:rsidR="00C93607" w:rsidRDefault="00000000">
            <w:pPr>
              <w:jc w:val="center"/>
            </w:pPr>
            <w:r>
              <w:rPr>
                <w:sz w:val="19"/>
                <w:szCs w:val="19"/>
              </w:rPr>
              <w:t>7937</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ACBAE89" w14:textId="77777777" w:rsidR="00C93607" w:rsidRDefault="00000000">
            <w:pPr>
              <w:jc w:val="center"/>
            </w:pPr>
            <w:r>
              <w:rPr>
                <w:sz w:val="19"/>
                <w:szCs w:val="19"/>
              </w:rPr>
              <w:t>10627</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2F3AD44" w14:textId="77777777" w:rsidR="00C93607" w:rsidRDefault="00000000">
            <w:pPr>
              <w:jc w:val="center"/>
            </w:pPr>
            <w:r>
              <w:rPr>
                <w:sz w:val="19"/>
                <w:szCs w:val="19"/>
              </w:rPr>
              <w:t>9045</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94AC7F8" w14:textId="77777777" w:rsidR="00C93607" w:rsidRDefault="00000000">
            <w:pPr>
              <w:jc w:val="center"/>
            </w:pPr>
            <w:r>
              <w:rPr>
                <w:sz w:val="19"/>
                <w:szCs w:val="19"/>
              </w:rPr>
              <w:t>10360</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4E64CC4" w14:textId="77777777" w:rsidR="00C93607" w:rsidRDefault="00000000">
            <w:pPr>
              <w:jc w:val="center"/>
            </w:pPr>
            <w:r>
              <w:rPr>
                <w:sz w:val="19"/>
                <w:szCs w:val="19"/>
              </w:rPr>
              <w:t>8475</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1BB340" w14:textId="77777777" w:rsidR="00C93607" w:rsidRDefault="00000000">
            <w:pPr>
              <w:jc w:val="center"/>
            </w:pPr>
            <w:r>
              <w:rPr>
                <w:sz w:val="19"/>
                <w:szCs w:val="19"/>
              </w:rPr>
              <w:t>7099</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BB872FE" w14:textId="77777777" w:rsidR="00C93607" w:rsidRDefault="00000000">
            <w:pPr>
              <w:jc w:val="center"/>
            </w:pPr>
            <w:r>
              <w:rPr>
                <w:sz w:val="19"/>
                <w:szCs w:val="19"/>
              </w:rPr>
              <w:t>6523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E2064D3" w14:textId="77777777" w:rsidR="00C93607" w:rsidRDefault="00000000">
            <w:pPr>
              <w:jc w:val="center"/>
            </w:pPr>
            <w:r>
              <w:rPr>
                <w:sz w:val="19"/>
                <w:szCs w:val="19"/>
              </w:rPr>
              <w:t>9382</w:t>
            </w:r>
          </w:p>
        </w:tc>
        <w:tc>
          <w:tcPr>
            <w:tcW w:w="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BC8B184" w14:textId="77777777" w:rsidR="00C93607" w:rsidRDefault="00000000">
            <w:pPr>
              <w:jc w:val="center"/>
            </w:pPr>
            <w:r>
              <w:rPr>
                <w:sz w:val="19"/>
                <w:szCs w:val="19"/>
              </w:rPr>
              <w:t>7903</w:t>
            </w:r>
          </w:p>
        </w:tc>
      </w:tr>
      <w:tr w:rsidR="00C93607" w14:paraId="1FF3F5D2"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73392B" w14:textId="77777777" w:rsidR="00C93607" w:rsidRDefault="00000000">
            <w:r>
              <w:rPr>
                <w:sz w:val="19"/>
                <w:szCs w:val="19"/>
              </w:rPr>
              <w:t>500</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64E110" w14:textId="77777777" w:rsidR="00C93607" w:rsidRDefault="00000000">
            <w:pPr>
              <w:jc w:val="center"/>
            </w:pPr>
            <w:r>
              <w:rPr>
                <w:sz w:val="19"/>
                <w:szCs w:val="19"/>
              </w:rPr>
              <w:t>8934</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1B16BA" w14:textId="77777777" w:rsidR="00C93607" w:rsidRDefault="00000000">
            <w:pPr>
              <w:jc w:val="center"/>
            </w:pPr>
            <w:r>
              <w:rPr>
                <w:sz w:val="19"/>
                <w:szCs w:val="19"/>
              </w:rPr>
              <w:t>12757</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43B755" w14:textId="77777777" w:rsidR="00C93607" w:rsidRDefault="00000000">
            <w:pPr>
              <w:jc w:val="center"/>
            </w:pPr>
            <w:r>
              <w:rPr>
                <w:sz w:val="19"/>
                <w:szCs w:val="19"/>
              </w:rPr>
              <w:t>10250</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DD28F2" w14:textId="77777777" w:rsidR="00C93607" w:rsidRDefault="00000000">
            <w:pPr>
              <w:jc w:val="center"/>
            </w:pPr>
            <w:r>
              <w:rPr>
                <w:sz w:val="19"/>
                <w:szCs w:val="19"/>
              </w:rPr>
              <w:t>12453</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78A980" w14:textId="77777777" w:rsidR="00C93607" w:rsidRDefault="00000000">
            <w:pPr>
              <w:jc w:val="center"/>
            </w:pPr>
            <w:r>
              <w:rPr>
                <w:sz w:val="19"/>
                <w:szCs w:val="19"/>
              </w:rPr>
              <w:t>9439</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0B6852" w14:textId="77777777" w:rsidR="00C93607" w:rsidRDefault="00000000">
            <w:pPr>
              <w:jc w:val="center"/>
            </w:pPr>
            <w:r>
              <w:rPr>
                <w:sz w:val="19"/>
                <w:szCs w:val="19"/>
              </w:rPr>
              <w:t>7187</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ADDCF1" w14:textId="77777777" w:rsidR="00C93607" w:rsidRDefault="00000000">
            <w:pPr>
              <w:jc w:val="center"/>
            </w:pPr>
            <w:r>
              <w:rPr>
                <w:sz w:val="19"/>
                <w:szCs w:val="19"/>
              </w:rPr>
              <w:t>7311</w:t>
            </w:r>
          </w:p>
        </w:tc>
        <w:tc>
          <w:tcPr>
            <w:tcW w:w="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01EA81" w14:textId="77777777" w:rsidR="00C93607" w:rsidRDefault="00000000">
            <w:pPr>
              <w:jc w:val="center"/>
            </w:pPr>
            <w:r>
              <w:rPr>
                <w:sz w:val="19"/>
                <w:szCs w:val="19"/>
              </w:rPr>
              <w:t>10607</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8E58DC" w14:textId="77777777" w:rsidR="00C93607" w:rsidRDefault="00000000">
            <w:pPr>
              <w:jc w:val="center"/>
            </w:pPr>
            <w:r>
              <w:rPr>
                <w:sz w:val="19"/>
                <w:szCs w:val="19"/>
              </w:rPr>
              <w:t>8884</w:t>
            </w:r>
          </w:p>
        </w:tc>
      </w:tr>
      <w:tr w:rsidR="00C93607" w14:paraId="61E77398"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D2A438A" w14:textId="77777777" w:rsidR="00C93607" w:rsidRDefault="00000000">
            <w:r>
              <w:rPr>
                <w:sz w:val="19"/>
                <w:szCs w:val="19"/>
              </w:rPr>
              <w:t>1000</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96E0590" w14:textId="77777777" w:rsidR="00C93607" w:rsidRDefault="00000000">
            <w:pPr>
              <w:jc w:val="center"/>
            </w:pPr>
            <w:r>
              <w:rPr>
                <w:sz w:val="19"/>
                <w:szCs w:val="19"/>
              </w:rPr>
              <w:t>9687</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CD825AD" w14:textId="77777777" w:rsidR="00C93607" w:rsidRDefault="00000000">
            <w:pPr>
              <w:jc w:val="center"/>
            </w:pPr>
            <w:r>
              <w:rPr>
                <w:sz w:val="19"/>
                <w:szCs w:val="19"/>
              </w:rPr>
              <w:t>14511</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B2A38CF" w14:textId="77777777" w:rsidR="00C93607" w:rsidRDefault="00000000">
            <w:pPr>
              <w:jc w:val="center"/>
            </w:pPr>
            <w:r>
              <w:rPr>
                <w:sz w:val="19"/>
                <w:szCs w:val="19"/>
              </w:rPr>
              <w:t>11153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DD24AAB" w14:textId="77777777" w:rsidR="00C93607" w:rsidRDefault="00000000">
            <w:pPr>
              <w:jc w:val="center"/>
            </w:pPr>
            <w:r>
              <w:rPr>
                <w:sz w:val="19"/>
                <w:szCs w:val="19"/>
              </w:rPr>
              <w:t>14197</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7876A80" w14:textId="77777777" w:rsidR="00C93607" w:rsidRDefault="00000000">
            <w:pPr>
              <w:jc w:val="center"/>
            </w:pPr>
            <w:r>
              <w:rPr>
                <w:sz w:val="19"/>
                <w:szCs w:val="19"/>
              </w:rPr>
              <w:t>10145</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10D64F3" w14:textId="77777777" w:rsidR="00C93607" w:rsidRDefault="00000000">
            <w:pPr>
              <w:jc w:val="center"/>
            </w:pPr>
            <w:r>
              <w:rPr>
                <w:sz w:val="19"/>
                <w:szCs w:val="19"/>
              </w:rPr>
              <w:t>7223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9E69DD0" w14:textId="77777777" w:rsidR="00C93607" w:rsidRDefault="00000000">
            <w:pPr>
              <w:jc w:val="center"/>
            </w:pPr>
            <w:r>
              <w:rPr>
                <w:sz w:val="19"/>
                <w:szCs w:val="19"/>
              </w:rPr>
              <w:t>7913</w:t>
            </w:r>
          </w:p>
        </w:tc>
        <w:tc>
          <w:tcPr>
            <w:tcW w:w="8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40FEBD" w14:textId="77777777" w:rsidR="00C93607" w:rsidRDefault="00000000">
            <w:pPr>
              <w:jc w:val="center"/>
            </w:pPr>
            <w:r>
              <w:rPr>
                <w:sz w:val="19"/>
                <w:szCs w:val="19"/>
              </w:rPr>
              <w:t>11531</w:t>
            </w:r>
          </w:p>
        </w:tc>
        <w:tc>
          <w:tcPr>
            <w:tcW w:w="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B79921E" w14:textId="77777777" w:rsidR="00C93607" w:rsidRDefault="00000000">
            <w:pPr>
              <w:jc w:val="center"/>
            </w:pPr>
            <w:r>
              <w:rPr>
                <w:sz w:val="19"/>
                <w:szCs w:val="19"/>
              </w:rPr>
              <w:t>9633</w:t>
            </w:r>
          </w:p>
        </w:tc>
      </w:tr>
    </w:tbl>
    <w:p w14:paraId="074A813D" w14:textId="77777777" w:rsidR="00C93607" w:rsidRDefault="00000000">
      <w:pPr>
        <w:pStyle w:val="Heading3"/>
      </w:pPr>
      <w:r>
        <w:rPr>
          <w:color w:val="334455"/>
        </w:rPr>
        <w:t>5.4.2  Convergence of Three Uncertainty Methods</w:t>
      </w:r>
    </w:p>
    <w:p w14:paraId="504CADAB" w14:textId="77777777" w:rsidR="00C93607" w:rsidRDefault="00000000">
      <w:pPr>
        <w:spacing w:before="120" w:after="60"/>
        <w:jc w:val="center"/>
      </w:pPr>
      <w:r>
        <w:rPr>
          <w:noProof/>
        </w:rPr>
        <w:drawing>
          <wp:inline distT="0" distB="0" distL="0" distR="0" wp14:anchorId="5ECFE8BE" wp14:editId="69209F5B">
            <wp:extent cx="5715000" cy="2762250"/>
            <wp:effectExtent l="0" t="0" r="0" b="0"/>
            <wp:docPr id="193497205" name="Picture 19349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62250"/>
                    </a:xfrm>
                    <a:prstGeom prst="rect">
                      <a:avLst/>
                    </a:prstGeom>
                  </pic:spPr>
                </pic:pic>
              </a:graphicData>
            </a:graphic>
          </wp:inline>
        </w:drawing>
      </w:r>
    </w:p>
    <w:p w14:paraId="28AF4EEA" w14:textId="77777777" w:rsidR="00C93607" w:rsidRDefault="00000000">
      <w:pPr>
        <w:spacing w:before="60" w:after="200"/>
        <w:jc w:val="center"/>
      </w:pPr>
      <w:r>
        <w:rPr>
          <w:rFonts w:ascii="Arial" w:eastAsia="Arial" w:hAnsi="Arial" w:cs="Arial"/>
          <w:i/>
          <w:iCs/>
          <w:color w:val="333333"/>
          <w:sz w:val="19"/>
          <w:szCs w:val="19"/>
        </w:rPr>
        <w:t>Figure 8. Monte Carlo uncertainty quantification: (left) uncertainty fan showing MC mean with 50% and 90% intervals expanding with return period; (right) violin plots of the posterior distribution of Q₁₀, Q₁₀₀ and Q₁₀₀₀, illustrating the increasing spread and mild right-skewness of the estimation uncertainty at higher return periods.</w:t>
      </w:r>
    </w:p>
    <w:p w14:paraId="68734005" w14:textId="77777777" w:rsidR="00C93607" w:rsidRDefault="00000000">
      <w:pPr>
        <w:spacing w:before="120" w:after="60"/>
        <w:jc w:val="center"/>
      </w:pPr>
      <w:r>
        <w:rPr>
          <w:noProof/>
        </w:rPr>
        <w:drawing>
          <wp:inline distT="0" distB="0" distL="0" distR="0" wp14:anchorId="238E5A33" wp14:editId="27271ED6">
            <wp:extent cx="5715000" cy="3314700"/>
            <wp:effectExtent l="0" t="0" r="0" b="0"/>
            <wp:docPr id="286964692" name="Picture 28696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14700"/>
                    </a:xfrm>
                    <a:prstGeom prst="rect">
                      <a:avLst/>
                    </a:prstGeom>
                  </pic:spPr>
                </pic:pic>
              </a:graphicData>
            </a:graphic>
          </wp:inline>
        </w:drawing>
      </w:r>
    </w:p>
    <w:p w14:paraId="286BF7EE" w14:textId="77777777" w:rsidR="00C93607" w:rsidRDefault="00000000">
      <w:pPr>
        <w:spacing w:before="60" w:after="200"/>
        <w:jc w:val="center"/>
      </w:pPr>
      <w:r>
        <w:rPr>
          <w:rFonts w:ascii="Arial" w:eastAsia="Arial" w:hAnsi="Arial" w:cs="Arial"/>
          <w:i/>
          <w:iCs/>
          <w:color w:val="333333"/>
          <w:sz w:val="19"/>
          <w:szCs w:val="19"/>
        </w:rPr>
        <w:t>Figure 9. Bayesian MCMC results for Gumbel parameters and predictive posteriors: (top-left) posterior distribution of scale parameter α with posterior mean 1,145 m³/s; (top-middle) posterior distribution of location parameter u; (top-right) joint posterior density showing mild negative correlation between α and u; (bottom-left) posterior predictive distribution of Q₁₀₀ with mean 7,478 m³/s; (bottom-middle) posterior of Q₅₀₀; (bottom-right) MCMC trace plot confirming convergence with acceptance rate 82.5%.</w:t>
      </w:r>
    </w:p>
    <w:p w14:paraId="51131F74" w14:textId="77777777" w:rsidR="00C93607" w:rsidRDefault="00000000">
      <w:pPr>
        <w:spacing w:before="60" w:after="60" w:line="360" w:lineRule="auto"/>
        <w:jc w:val="both"/>
      </w:pPr>
      <w:r>
        <w:rPr>
          <w:color w:val="000000"/>
        </w:rPr>
        <w:t>Three entirely different computational approaches — bootstrap resampling, Monte Carlo simulation and Bayesian MCMC — all converge on estimates for the 100-year flood in the range 7,141–7,478 m³/s (Table 6), providing strong mutual validation. The bootstrap 95% CI of [5,923; 8,458] m³/s (relative width ±17.7%) is slightly narrower than the Bayesian 95% credible interval of [6,268; 8,947] m³/s (±17.9%), which is expected since the Bayesian approach carries additional prior uncertainty. The Monte Carlo 90% interval of [6,068; 8,246] m³/s is consistent with both.</w:t>
      </w:r>
    </w:p>
    <w:p w14:paraId="65AA959B" w14:textId="77777777" w:rsidR="00C93607" w:rsidRDefault="00000000">
      <w:pPr>
        <w:spacing w:before="160" w:after="60"/>
      </w:pPr>
      <w:r>
        <w:rPr>
          <w:rFonts w:ascii="Arial" w:eastAsia="Arial" w:hAnsi="Arial" w:cs="Arial"/>
          <w:b/>
          <w:bCs/>
          <w:color w:val="1B3A6B"/>
          <w:sz w:val="20"/>
          <w:szCs w:val="20"/>
        </w:rPr>
        <w:t>Table 6. Comparison of Q₁₀₀ estimates from three uncertainty quantification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1200"/>
        <w:gridCol w:w="1600"/>
        <w:gridCol w:w="1360"/>
      </w:tblGrid>
      <w:tr w:rsidR="00C93607" w14:paraId="0B1A0BC7"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C3A4DCC" w14:textId="77777777" w:rsidR="00C93607" w:rsidRDefault="00000000">
            <w:pPr>
              <w:jc w:val="center"/>
            </w:pPr>
            <w:r>
              <w:rPr>
                <w:rFonts w:ascii="Arial" w:eastAsia="Arial" w:hAnsi="Arial" w:cs="Arial"/>
                <w:b/>
                <w:bCs/>
                <w:color w:val="FFFFFF"/>
                <w:sz w:val="19"/>
                <w:szCs w:val="19"/>
              </w:rPr>
              <w:t>Method</w:t>
            </w:r>
          </w:p>
        </w:tc>
        <w:tc>
          <w:tcPr>
            <w:tcW w:w="15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3C779EE" w14:textId="77777777" w:rsidR="00C93607" w:rsidRDefault="00000000">
            <w:pPr>
              <w:jc w:val="center"/>
            </w:pPr>
            <w:r>
              <w:rPr>
                <w:rFonts w:ascii="Arial" w:eastAsia="Arial" w:hAnsi="Arial" w:cs="Arial"/>
                <w:b/>
                <w:bCs/>
                <w:color w:val="FFFFFF"/>
                <w:sz w:val="19"/>
                <w:szCs w:val="19"/>
              </w:rPr>
              <w:t>Point Estimate</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69D6BBD" w14:textId="77777777" w:rsidR="00C93607" w:rsidRDefault="00000000">
            <w:pPr>
              <w:jc w:val="center"/>
            </w:pPr>
            <w:r>
              <w:rPr>
                <w:rFonts w:ascii="Arial" w:eastAsia="Arial" w:hAnsi="Arial" w:cs="Arial"/>
                <w:b/>
                <w:bCs/>
                <w:color w:val="FFFFFF"/>
                <w:sz w:val="19"/>
                <w:szCs w:val="19"/>
              </w:rPr>
              <w:t>95% Lower</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03B080D" w14:textId="77777777" w:rsidR="00C93607" w:rsidRDefault="00000000">
            <w:pPr>
              <w:jc w:val="center"/>
            </w:pPr>
            <w:r>
              <w:rPr>
                <w:rFonts w:ascii="Arial" w:eastAsia="Arial" w:hAnsi="Arial" w:cs="Arial"/>
                <w:b/>
                <w:bCs/>
                <w:color w:val="FFFFFF"/>
                <w:sz w:val="19"/>
                <w:szCs w:val="19"/>
              </w:rPr>
              <w:t>95% Upper</w:t>
            </w:r>
          </w:p>
        </w:tc>
        <w:tc>
          <w:tcPr>
            <w:tcW w:w="1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3B0C51F" w14:textId="77777777" w:rsidR="00C93607" w:rsidRDefault="00000000">
            <w:pPr>
              <w:jc w:val="center"/>
            </w:pPr>
            <w:r>
              <w:rPr>
                <w:rFonts w:ascii="Arial" w:eastAsia="Arial" w:hAnsi="Arial" w:cs="Arial"/>
                <w:b/>
                <w:bCs/>
                <w:color w:val="FFFFFF"/>
                <w:sz w:val="19"/>
                <w:szCs w:val="19"/>
              </w:rPr>
              <w:t>Relative Half-Width</w:t>
            </w:r>
          </w:p>
        </w:tc>
        <w:tc>
          <w:tcPr>
            <w:tcW w:w="13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F870D67" w14:textId="77777777" w:rsidR="00C93607" w:rsidRDefault="00000000">
            <w:pPr>
              <w:jc w:val="center"/>
            </w:pPr>
            <w:r>
              <w:rPr>
                <w:rFonts w:ascii="Arial" w:eastAsia="Arial" w:hAnsi="Arial" w:cs="Arial"/>
                <w:b/>
                <w:bCs/>
                <w:color w:val="FFFFFF"/>
                <w:sz w:val="19"/>
                <w:szCs w:val="19"/>
              </w:rPr>
              <w:t>Notes</w:t>
            </w:r>
          </w:p>
        </w:tc>
      </w:tr>
      <w:tr w:rsidR="00C93607" w14:paraId="27067D6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1427F3A" w14:textId="77777777" w:rsidR="00C93607" w:rsidRDefault="00000000">
            <w:r>
              <w:rPr>
                <w:sz w:val="19"/>
                <w:szCs w:val="19"/>
              </w:rPr>
              <w:t>Bootstrap (B=2,000)</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F1794CE" w14:textId="77777777" w:rsidR="00C93607" w:rsidRDefault="00000000">
            <w:pPr>
              <w:jc w:val="center"/>
            </w:pPr>
            <w:r>
              <w:rPr>
                <w:sz w:val="19"/>
                <w:szCs w:val="19"/>
              </w:rPr>
              <w:t>7,181 m³/s</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6B4A0A4" w14:textId="77777777" w:rsidR="00C93607" w:rsidRDefault="00000000">
            <w:pPr>
              <w:jc w:val="center"/>
            </w:pPr>
            <w:r>
              <w:rPr>
                <w:sz w:val="19"/>
                <w:szCs w:val="19"/>
              </w:rPr>
              <w:t>5,923</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A839810" w14:textId="77777777" w:rsidR="00C93607" w:rsidRDefault="00000000">
            <w:pPr>
              <w:jc w:val="center"/>
            </w:pPr>
            <w:r>
              <w:rPr>
                <w:sz w:val="19"/>
                <w:szCs w:val="19"/>
              </w:rPr>
              <w:t>8,458</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56D4140" w14:textId="77777777" w:rsidR="00C93607" w:rsidRDefault="00000000">
            <w:pPr>
              <w:jc w:val="center"/>
            </w:pPr>
            <w:r>
              <w:rPr>
                <w:sz w:val="19"/>
                <w:szCs w:val="19"/>
              </w:rPr>
              <w:t>±17.7%</w:t>
            </w:r>
          </w:p>
        </w:tc>
        <w:tc>
          <w:tcPr>
            <w:tcW w:w="13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B6D313A" w14:textId="77777777" w:rsidR="00C93607" w:rsidRDefault="00000000">
            <w:pPr>
              <w:jc w:val="center"/>
            </w:pPr>
            <w:r>
              <w:rPr>
                <w:sz w:val="19"/>
                <w:szCs w:val="19"/>
              </w:rPr>
              <w:t>Model-free resampling</w:t>
            </w:r>
          </w:p>
        </w:tc>
      </w:tr>
      <w:tr w:rsidR="00C93607" w14:paraId="5DC8C86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0496BB" w14:textId="77777777" w:rsidR="00C93607" w:rsidRDefault="00000000">
            <w:r>
              <w:rPr>
                <w:sz w:val="19"/>
                <w:szCs w:val="19"/>
              </w:rPr>
              <w:t>Monte Carlo (M=10,000)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174905" w14:textId="77777777" w:rsidR="00C93607" w:rsidRDefault="00000000">
            <w:pPr>
              <w:jc w:val="center"/>
            </w:pPr>
            <w:r>
              <w:rPr>
                <w:sz w:val="19"/>
                <w:szCs w:val="19"/>
              </w:rPr>
              <w:t>7,141 m³/s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590A6D" w14:textId="77777777" w:rsidR="00C93607" w:rsidRDefault="00000000">
            <w:pPr>
              <w:jc w:val="center"/>
            </w:pPr>
            <w:r>
              <w:rPr>
                <w:sz w:val="19"/>
                <w:szCs w:val="19"/>
              </w:rPr>
              <w:t>6,068 (P5)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F1C79F" w14:textId="77777777" w:rsidR="00C93607" w:rsidRDefault="00000000">
            <w:pPr>
              <w:jc w:val="center"/>
            </w:pPr>
            <w:r>
              <w:rPr>
                <w:sz w:val="19"/>
                <w:szCs w:val="19"/>
              </w:rPr>
              <w:t>8,246 (P95)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83F84C" w14:textId="77777777" w:rsidR="00C93607" w:rsidRDefault="00000000">
            <w:pPr>
              <w:jc w:val="center"/>
            </w:pPr>
            <w:r>
              <w:rPr>
                <w:sz w:val="19"/>
                <w:szCs w:val="19"/>
              </w:rPr>
              <w:t>±15.3% (90%)</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D97E23" w14:textId="77777777" w:rsidR="00C93607" w:rsidRDefault="00000000">
            <w:pPr>
              <w:jc w:val="center"/>
            </w:pPr>
            <w:r>
              <w:rPr>
                <w:sz w:val="19"/>
                <w:szCs w:val="19"/>
              </w:rPr>
              <w:t>MC mean ± 90% CI</w:t>
            </w:r>
          </w:p>
        </w:tc>
      </w:tr>
      <w:tr w:rsidR="00C93607" w14:paraId="4999272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ABBE589" w14:textId="77777777" w:rsidR="00C93607" w:rsidRDefault="00000000">
            <w:r>
              <w:rPr>
                <w:sz w:val="19"/>
                <w:szCs w:val="19"/>
              </w:rPr>
              <w:t>Bayesian MCMC (N=12,000)</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561B0BC" w14:textId="77777777" w:rsidR="00C93607" w:rsidRDefault="00000000">
            <w:pPr>
              <w:jc w:val="center"/>
            </w:pPr>
            <w:r>
              <w:rPr>
                <w:sz w:val="19"/>
                <w:szCs w:val="19"/>
              </w:rPr>
              <w:t>7,478 m³/s</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C5C86E" w14:textId="77777777" w:rsidR="00C93607" w:rsidRDefault="00000000">
            <w:pPr>
              <w:jc w:val="center"/>
            </w:pPr>
            <w:r>
              <w:rPr>
                <w:sz w:val="19"/>
                <w:szCs w:val="19"/>
              </w:rPr>
              <w:t>6,268</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1A6FD47" w14:textId="77777777" w:rsidR="00C93607" w:rsidRDefault="00000000">
            <w:pPr>
              <w:jc w:val="center"/>
            </w:pPr>
            <w:r>
              <w:rPr>
                <w:sz w:val="19"/>
                <w:szCs w:val="19"/>
              </w:rPr>
              <w:t>8,947</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E4F540D" w14:textId="77777777" w:rsidR="00C93607" w:rsidRDefault="00000000">
            <w:pPr>
              <w:jc w:val="center"/>
            </w:pPr>
            <w:r>
              <w:rPr>
                <w:sz w:val="19"/>
                <w:szCs w:val="19"/>
              </w:rPr>
              <w:t>±17.9%</w:t>
            </w:r>
          </w:p>
        </w:tc>
        <w:tc>
          <w:tcPr>
            <w:tcW w:w="13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458469A" w14:textId="77777777" w:rsidR="00C93607" w:rsidRDefault="00000000">
            <w:pPr>
              <w:jc w:val="center"/>
            </w:pPr>
            <w:r>
              <w:rPr>
                <w:sz w:val="19"/>
                <w:szCs w:val="19"/>
              </w:rPr>
              <w:t xml:space="preserve">Posterior mean + 95% </w:t>
            </w:r>
            <w:proofErr w:type="spellStart"/>
            <w:r>
              <w:rPr>
                <w:sz w:val="19"/>
                <w:szCs w:val="19"/>
              </w:rPr>
              <w:t>CrI</w:t>
            </w:r>
            <w:proofErr w:type="spellEnd"/>
          </w:p>
        </w:tc>
      </w:tr>
      <w:tr w:rsidR="00C93607" w14:paraId="775B8BE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811A7B" w14:textId="77777777" w:rsidR="00C93607" w:rsidRDefault="00000000">
            <w:r>
              <w:rPr>
                <w:sz w:val="19"/>
                <w:szCs w:val="19"/>
              </w:rPr>
              <w:t>GPD-POT (independent)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E1A372" w14:textId="77777777" w:rsidR="00C93607" w:rsidRDefault="00000000">
            <w:pPr>
              <w:jc w:val="center"/>
            </w:pPr>
            <w:r>
              <w:rPr>
                <w:sz w:val="19"/>
                <w:szCs w:val="19"/>
              </w:rPr>
              <w:t>6,973 m³/s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482030" w14:textId="77777777" w:rsidR="00C93607" w:rsidRDefault="00000000">
            <w:pPr>
              <w:jc w:val="center"/>
            </w:pPr>
            <w:r>
              <w:rPr>
                <w:sz w:val="19"/>
                <w:szCs w:val="19"/>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0787C2" w14:textId="77777777" w:rsidR="00C93607" w:rsidRDefault="00000000">
            <w:pPr>
              <w:jc w:val="center"/>
            </w:pPr>
            <w:r>
              <w:rPr>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011C5" w14:textId="77777777" w:rsidR="00C93607" w:rsidRDefault="00000000">
            <w:pPr>
              <w:jc w:val="center"/>
            </w:pPr>
            <w:r>
              <w:rPr>
                <w:sz w:val="19"/>
                <w:szCs w:val="19"/>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E66272" w14:textId="77777777" w:rsidR="00C93607" w:rsidRDefault="00000000">
            <w:pPr>
              <w:jc w:val="center"/>
            </w:pPr>
            <w:r>
              <w:rPr>
                <w:sz w:val="19"/>
                <w:szCs w:val="19"/>
              </w:rPr>
              <w:t>Independent validation</w:t>
            </w:r>
          </w:p>
        </w:tc>
      </w:tr>
    </w:tbl>
    <w:p w14:paraId="548F6D2B" w14:textId="51ACE9EE" w:rsidR="002E6DBF" w:rsidRDefault="002E6DBF">
      <w:pPr>
        <w:rPr>
          <w:rFonts w:ascii="Arial" w:eastAsia="Arial" w:hAnsi="Arial" w:cs="Arial"/>
          <w:b/>
          <w:bCs/>
          <w:color w:val="1A6B5A"/>
          <w:sz w:val="26"/>
          <w:szCs w:val="26"/>
        </w:rPr>
      </w:pPr>
      <w:r>
        <w:rPr>
          <w:color w:val="1A6B5A"/>
        </w:rPr>
        <w:br w:type="page"/>
      </w:r>
    </w:p>
    <w:p w14:paraId="0E1206C4" w14:textId="69B80B1E" w:rsidR="00C93607" w:rsidRDefault="00000000">
      <w:pPr>
        <w:pStyle w:val="Heading2"/>
      </w:pPr>
      <w:r>
        <w:rPr>
          <w:color w:val="1A6B5A"/>
        </w:rPr>
        <w:t>5.5  Peaks-Over-Threshold Analysis and Physical Bound Discovery</w:t>
      </w:r>
    </w:p>
    <w:p w14:paraId="649A4061" w14:textId="77777777" w:rsidR="00C93607" w:rsidRDefault="00000000">
      <w:pPr>
        <w:spacing w:before="120" w:after="60"/>
        <w:jc w:val="center"/>
      </w:pPr>
      <w:r>
        <w:rPr>
          <w:noProof/>
        </w:rPr>
        <w:drawing>
          <wp:inline distT="0" distB="0" distL="0" distR="0" wp14:anchorId="22D6B616" wp14:editId="22142244">
            <wp:extent cx="5715000" cy="2562225"/>
            <wp:effectExtent l="0" t="0" r="0" b="0"/>
            <wp:docPr id="364867102" name="Picture 36486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62225"/>
                    </a:xfrm>
                    <a:prstGeom prst="rect">
                      <a:avLst/>
                    </a:prstGeom>
                  </pic:spPr>
                </pic:pic>
              </a:graphicData>
            </a:graphic>
          </wp:inline>
        </w:drawing>
      </w:r>
    </w:p>
    <w:p w14:paraId="0CA4A567" w14:textId="77777777" w:rsidR="00C93607" w:rsidRDefault="00000000">
      <w:pPr>
        <w:spacing w:before="60" w:after="200"/>
        <w:jc w:val="center"/>
      </w:pPr>
      <w:r>
        <w:rPr>
          <w:rFonts w:ascii="Arial" w:eastAsia="Arial" w:hAnsi="Arial" w:cs="Arial"/>
          <w:i/>
          <w:iCs/>
          <w:color w:val="333333"/>
          <w:sz w:val="19"/>
          <w:szCs w:val="19"/>
        </w:rPr>
        <w:t>Figure 10. POT/GPD analysis: (top-left) Mean Residual Life plot showing approximately linear behaviour above u = 3,549 m³/s; (top-right) GPD return level plot with observed data; (bottom-left) empirical vs GPD fitted CDF for exceedances (KS test p = 0.826); (bottom-right) threshold stability plot showing consistent negative shape parameter ξ across the range u = 2,400–4,000 m³/s, confirming threshold choice robustness.</w:t>
      </w:r>
    </w:p>
    <w:p w14:paraId="236A23EE" w14:textId="77777777" w:rsidR="00C93607" w:rsidRDefault="00000000">
      <w:pPr>
        <w:spacing w:before="60" w:after="60" w:line="360" w:lineRule="auto"/>
        <w:jc w:val="both"/>
      </w:pPr>
      <w:r>
        <w:rPr>
          <w:color w:val="000000"/>
        </w:rPr>
        <w:t>The POT analysis delivered one of the most important findings in this study: a physically bounded upper tail. The GPD shape parameter ξ = −0.789 (negative Weibull domain) implies a finite maximum possible discharge at this site. The upper bound is u + σ/(−ξ) = 3,549 + 2,937/0.789 = 7,271 m³/s. This is strikingly close to the observed historical maximum of 7,177 m³/s — the largest flood in 57 years of record — suggesting that the physical catchment processes genuinely limit the maximum possible flood discharge at this location. The threshold stability plot in Figure 10 shows that ξ remains consistently in the range −0.3 to −0.8 across all threshold values from 2,400 to 4,000 m³/s, confirming that the negative shape is not a peculiarity of the chosen threshold but a robust property of the upper tail.</w:t>
      </w:r>
    </w:p>
    <w:p w14:paraId="39F12E30" w14:textId="77777777" w:rsidR="00C93607" w:rsidRDefault="00000000">
      <w:pPr>
        <w:spacing w:before="60" w:after="60" w:line="360" w:lineRule="auto"/>
        <w:jc w:val="both"/>
        <w:rPr>
          <w:color w:val="000000"/>
        </w:rPr>
      </w:pPr>
      <w:r>
        <w:rPr>
          <w:color w:val="000000"/>
        </w:rPr>
        <w:t>This finding has profound engineering implications. It means that extrapolations using unbounded distributions (Gumbel, LN2, LP3, P3) to very long return periods will systematically overestimate flood hazard at this site. The GPD-based Q₁₀₀₀ = 7,223 m³/s is dramatically lower than the LP3-based Q₁₀₀₀ = 14,197 m³/s or even the Gumbel-based Q₁₀₀₀ = 9,687 m³/s. For engineers designing dam spillways to the 1-in-1,000-year standard, the difference between 7,223 and 14,197 m³/s — a factor of nearly two — is the difference between a rational design and a massively over-sized one. We recommend that for structures requiring design return periods beyond 500 years at this site, the GPD-bounded estimate should be considered alongside the parametric AMS estimates, and that hydrometeorological methods (Probable Maximum Flood analysis) be used to establish a physically-based upper bound.</w:t>
      </w:r>
    </w:p>
    <w:p w14:paraId="7485C146" w14:textId="77777777" w:rsidR="00C93607" w:rsidRDefault="00000000">
      <w:pPr>
        <w:pStyle w:val="Heading2"/>
      </w:pPr>
      <w:r>
        <w:rPr>
          <w:color w:val="1A6B5A"/>
        </w:rPr>
        <w:t>5.6  Machine Learning Results (Objective 4)</w:t>
      </w:r>
    </w:p>
    <w:p w14:paraId="4A549277" w14:textId="77777777" w:rsidR="00C93607" w:rsidRDefault="00000000">
      <w:pPr>
        <w:spacing w:before="120" w:after="60"/>
        <w:jc w:val="center"/>
      </w:pPr>
      <w:r>
        <w:rPr>
          <w:noProof/>
        </w:rPr>
        <w:drawing>
          <wp:inline distT="0" distB="0" distL="0" distR="0" wp14:anchorId="79734DFC" wp14:editId="5783C118">
            <wp:extent cx="5715000" cy="3657600"/>
            <wp:effectExtent l="0" t="0" r="0" b="0"/>
            <wp:docPr id="226602127" name="Picture 22660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657600"/>
                    </a:xfrm>
                    <a:prstGeom prst="rect">
                      <a:avLst/>
                    </a:prstGeom>
                  </pic:spPr>
                </pic:pic>
              </a:graphicData>
            </a:graphic>
          </wp:inline>
        </w:drawing>
      </w:r>
    </w:p>
    <w:p w14:paraId="2983B8C5" w14:textId="77777777" w:rsidR="00C93607" w:rsidRDefault="00000000">
      <w:pPr>
        <w:spacing w:before="60" w:after="200"/>
        <w:jc w:val="center"/>
      </w:pPr>
      <w:r>
        <w:rPr>
          <w:rFonts w:ascii="Arial" w:eastAsia="Arial" w:hAnsi="Arial" w:cs="Arial"/>
          <w:i/>
          <w:iCs/>
          <w:color w:val="333333"/>
          <w:sz w:val="19"/>
          <w:szCs w:val="19"/>
        </w:rPr>
        <w:t>Figure 11. Machine learning model performance: (a) predicted vs observed scatter for all five models showing excellent agreement for RF, GBM, GPR and MLP, and poor SVR performance; (b) RF feature importance ranking with normalised rank, water level and discharge anomaly as top three predictors; (c) time-series reconstruction with GPR ±1σ uncertainty bands; (d) RF residual plot; (e) training R² comparison showing RF = 0.973, GBM = 1.000, GPR = 1.000, MLP = 0.999, SVR = 0.262; (f) RMSE comparison.</w:t>
      </w:r>
    </w:p>
    <w:p w14:paraId="3D5439BB" w14:textId="77777777" w:rsidR="00C93607" w:rsidRDefault="00000000">
      <w:pPr>
        <w:spacing w:before="120" w:after="60"/>
        <w:jc w:val="center"/>
      </w:pPr>
      <w:r>
        <w:rPr>
          <w:noProof/>
        </w:rPr>
        <w:drawing>
          <wp:inline distT="0" distB="0" distL="0" distR="0" wp14:anchorId="74939BFE" wp14:editId="5DD45D27">
            <wp:extent cx="5715000" cy="5372100"/>
            <wp:effectExtent l="0" t="0" r="0" b="0"/>
            <wp:docPr id="1546647685" name="Picture 154664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372100"/>
                    </a:xfrm>
                    <a:prstGeom prst="rect">
                      <a:avLst/>
                    </a:prstGeom>
                  </pic:spPr>
                </pic:pic>
              </a:graphicData>
            </a:graphic>
          </wp:inline>
        </w:drawing>
      </w:r>
    </w:p>
    <w:p w14:paraId="63377E71" w14:textId="77777777" w:rsidR="00C93607" w:rsidRDefault="00000000">
      <w:pPr>
        <w:spacing w:before="60" w:after="200"/>
        <w:jc w:val="center"/>
      </w:pPr>
      <w:r>
        <w:rPr>
          <w:rFonts w:ascii="Arial" w:eastAsia="Arial" w:hAnsi="Arial" w:cs="Arial"/>
          <w:i/>
          <w:iCs/>
          <w:color w:val="333333"/>
          <w:sz w:val="19"/>
          <w:szCs w:val="19"/>
        </w:rPr>
        <w:t xml:space="preserve">Figure 12. </w:t>
      </w:r>
      <w:proofErr w:type="spellStart"/>
      <w:r>
        <w:rPr>
          <w:rFonts w:ascii="Arial" w:eastAsia="Arial" w:hAnsi="Arial" w:cs="Arial"/>
          <w:i/>
          <w:iCs/>
          <w:color w:val="333333"/>
          <w:sz w:val="19"/>
          <w:szCs w:val="19"/>
        </w:rPr>
        <w:t>Pairplot</w:t>
      </w:r>
      <w:proofErr w:type="spellEnd"/>
      <w:r>
        <w:rPr>
          <w:rFonts w:ascii="Arial" w:eastAsia="Arial" w:hAnsi="Arial" w:cs="Arial"/>
          <w:i/>
          <w:iCs/>
          <w:color w:val="333333"/>
          <w:sz w:val="19"/>
          <w:szCs w:val="19"/>
        </w:rPr>
        <w:t xml:space="preserve"> of top-5 ML features coloured by decade. The strong linear relationship between </w:t>
      </w:r>
      <w:proofErr w:type="spellStart"/>
      <w:r>
        <w:rPr>
          <w:rFonts w:ascii="Arial" w:eastAsia="Arial" w:hAnsi="Arial" w:cs="Arial"/>
          <w:i/>
          <w:iCs/>
          <w:color w:val="333333"/>
          <w:sz w:val="19"/>
          <w:szCs w:val="19"/>
        </w:rPr>
        <w:t>rank_norm</w:t>
      </w:r>
      <w:proofErr w:type="spellEnd"/>
      <w:r>
        <w:rPr>
          <w:rFonts w:ascii="Arial" w:eastAsia="Arial" w:hAnsi="Arial" w:cs="Arial"/>
          <w:i/>
          <w:iCs/>
          <w:color w:val="333333"/>
          <w:sz w:val="19"/>
          <w:szCs w:val="19"/>
        </w:rPr>
        <w:t>, water level (</w:t>
      </w:r>
      <w:proofErr w:type="spellStart"/>
      <w:r>
        <w:rPr>
          <w:rFonts w:ascii="Arial" w:eastAsia="Arial" w:hAnsi="Arial" w:cs="Arial"/>
          <w:i/>
          <w:iCs/>
          <w:color w:val="333333"/>
          <w:sz w:val="19"/>
          <w:szCs w:val="19"/>
        </w:rPr>
        <w:t>wl</w:t>
      </w:r>
      <w:proofErr w:type="spellEnd"/>
      <w:r>
        <w:rPr>
          <w:rFonts w:ascii="Arial" w:eastAsia="Arial" w:hAnsi="Arial" w:cs="Arial"/>
          <w:i/>
          <w:iCs/>
          <w:color w:val="333333"/>
          <w:sz w:val="19"/>
          <w:szCs w:val="19"/>
        </w:rPr>
        <w:t xml:space="preserve">) and </w:t>
      </w:r>
      <w:proofErr w:type="spellStart"/>
      <w:r>
        <w:rPr>
          <w:rFonts w:ascii="Arial" w:eastAsia="Arial" w:hAnsi="Arial" w:cs="Arial"/>
          <w:i/>
          <w:iCs/>
          <w:color w:val="333333"/>
          <w:sz w:val="19"/>
          <w:szCs w:val="19"/>
        </w:rPr>
        <w:t>Q_peak</w:t>
      </w:r>
      <w:proofErr w:type="spellEnd"/>
      <w:r>
        <w:rPr>
          <w:rFonts w:ascii="Arial" w:eastAsia="Arial" w:hAnsi="Arial" w:cs="Arial"/>
          <w:i/>
          <w:iCs/>
          <w:color w:val="333333"/>
          <w:sz w:val="19"/>
          <w:szCs w:val="19"/>
        </w:rPr>
        <w:t xml:space="preserve"> (lower-right row) confirms the dominant role of empirical discharge rank and stage in predicting annual peak magnitude. Decade-wise colouring reveals that the 2010s (blue) cluster at lower discharges while the 2000s (teal) contain the largest events — consistent with the observed interannual variability.</w:t>
      </w:r>
    </w:p>
    <w:p w14:paraId="62FAA824" w14:textId="77777777" w:rsidR="00C93607" w:rsidRDefault="00000000">
      <w:pPr>
        <w:spacing w:before="120" w:after="60"/>
        <w:jc w:val="center"/>
      </w:pPr>
      <w:r>
        <w:rPr>
          <w:noProof/>
        </w:rPr>
        <w:drawing>
          <wp:inline distT="0" distB="0" distL="0" distR="0" wp14:anchorId="37068101" wp14:editId="0F8FC30E">
            <wp:extent cx="5715000" cy="3648075"/>
            <wp:effectExtent l="0" t="0" r="0" b="0"/>
            <wp:docPr id="906936058" name="Picture 90693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48075"/>
                    </a:xfrm>
                    <a:prstGeom prst="rect">
                      <a:avLst/>
                    </a:prstGeom>
                  </pic:spPr>
                </pic:pic>
              </a:graphicData>
            </a:graphic>
          </wp:inline>
        </w:drawing>
      </w:r>
    </w:p>
    <w:p w14:paraId="451146EB" w14:textId="77777777" w:rsidR="00C93607" w:rsidRDefault="00000000">
      <w:pPr>
        <w:spacing w:before="60" w:after="200"/>
        <w:jc w:val="center"/>
      </w:pPr>
      <w:r>
        <w:rPr>
          <w:rFonts w:ascii="Arial" w:eastAsia="Arial" w:hAnsi="Arial" w:cs="Arial"/>
          <w:i/>
          <w:iCs/>
          <w:color w:val="333333"/>
          <w:sz w:val="19"/>
          <w:szCs w:val="19"/>
        </w:rPr>
        <w:t xml:space="preserve">Figure 13. Pearson correlation heatmap of the ML feature matrix. The extraordinarily high correlations among </w:t>
      </w:r>
      <w:proofErr w:type="spellStart"/>
      <w:r>
        <w:rPr>
          <w:rFonts w:ascii="Arial" w:eastAsia="Arial" w:hAnsi="Arial" w:cs="Arial"/>
          <w:i/>
          <w:iCs/>
          <w:color w:val="333333"/>
          <w:sz w:val="19"/>
          <w:szCs w:val="19"/>
        </w:rPr>
        <w:t>rank_norm</w:t>
      </w:r>
      <w:proofErr w:type="spellEnd"/>
      <w:r>
        <w:rPr>
          <w:rFonts w:ascii="Arial" w:eastAsia="Arial" w:hAnsi="Arial" w:cs="Arial"/>
          <w:i/>
          <w:iCs/>
          <w:color w:val="333333"/>
          <w:sz w:val="19"/>
          <w:szCs w:val="19"/>
        </w:rPr>
        <w:t xml:space="preserve">, </w:t>
      </w:r>
      <w:proofErr w:type="spellStart"/>
      <w:r>
        <w:rPr>
          <w:rFonts w:ascii="Arial" w:eastAsia="Arial" w:hAnsi="Arial" w:cs="Arial"/>
          <w:i/>
          <w:iCs/>
          <w:color w:val="333333"/>
          <w:sz w:val="19"/>
          <w:szCs w:val="19"/>
        </w:rPr>
        <w:t>wl</w:t>
      </w:r>
      <w:proofErr w:type="spellEnd"/>
      <w:r>
        <w:rPr>
          <w:rFonts w:ascii="Arial" w:eastAsia="Arial" w:hAnsi="Arial" w:cs="Arial"/>
          <w:i/>
          <w:iCs/>
          <w:color w:val="333333"/>
          <w:sz w:val="19"/>
          <w:szCs w:val="19"/>
        </w:rPr>
        <w:t xml:space="preserve">, </w:t>
      </w:r>
      <w:proofErr w:type="spellStart"/>
      <w:r>
        <w:rPr>
          <w:rFonts w:ascii="Arial" w:eastAsia="Arial" w:hAnsi="Arial" w:cs="Arial"/>
          <w:i/>
          <w:iCs/>
          <w:color w:val="333333"/>
          <w:sz w:val="19"/>
          <w:szCs w:val="19"/>
        </w:rPr>
        <w:t>Q_anom</w:t>
      </w:r>
      <w:proofErr w:type="spellEnd"/>
      <w:r>
        <w:rPr>
          <w:rFonts w:ascii="Arial" w:eastAsia="Arial" w:hAnsi="Arial" w:cs="Arial"/>
          <w:i/>
          <w:iCs/>
          <w:color w:val="333333"/>
          <w:sz w:val="19"/>
          <w:szCs w:val="19"/>
        </w:rPr>
        <w:t xml:space="preserve"> and </w:t>
      </w:r>
      <w:proofErr w:type="spellStart"/>
      <w:r>
        <w:rPr>
          <w:rFonts w:ascii="Arial" w:eastAsia="Arial" w:hAnsi="Arial" w:cs="Arial"/>
          <w:i/>
          <w:iCs/>
          <w:color w:val="333333"/>
          <w:sz w:val="19"/>
          <w:szCs w:val="19"/>
        </w:rPr>
        <w:t>Q_peak</w:t>
      </w:r>
      <w:proofErr w:type="spellEnd"/>
      <w:r>
        <w:rPr>
          <w:rFonts w:ascii="Arial" w:eastAsia="Arial" w:hAnsi="Arial" w:cs="Arial"/>
          <w:i/>
          <w:iCs/>
          <w:color w:val="333333"/>
          <w:sz w:val="19"/>
          <w:szCs w:val="19"/>
        </w:rPr>
        <w:t xml:space="preserve"> (r = 0.91–0.99) reflect the near-linear stage-discharge relationship and the definition of rank as a function of Q. Day-of-year (</w:t>
      </w:r>
      <w:proofErr w:type="spellStart"/>
      <w:r>
        <w:rPr>
          <w:rFonts w:ascii="Arial" w:eastAsia="Arial" w:hAnsi="Arial" w:cs="Arial"/>
          <w:i/>
          <w:iCs/>
          <w:color w:val="333333"/>
          <w:sz w:val="19"/>
          <w:szCs w:val="19"/>
        </w:rPr>
        <w:t>doy</w:t>
      </w:r>
      <w:proofErr w:type="spellEnd"/>
      <w:r>
        <w:rPr>
          <w:rFonts w:ascii="Arial" w:eastAsia="Arial" w:hAnsi="Arial" w:cs="Arial"/>
          <w:i/>
          <w:iCs/>
          <w:color w:val="333333"/>
          <w:sz w:val="19"/>
          <w:szCs w:val="19"/>
        </w:rPr>
        <w:t>) shows near-zero correlation with all other features, confirming that flood timing and flood magnitude are independent properties at this station.</w:t>
      </w:r>
    </w:p>
    <w:p w14:paraId="42DA770B" w14:textId="77777777" w:rsidR="00C93607" w:rsidRDefault="00000000">
      <w:pPr>
        <w:spacing w:before="60" w:after="60" w:line="360" w:lineRule="auto"/>
        <w:jc w:val="both"/>
      </w:pPr>
      <w:r>
        <w:rPr>
          <w:color w:val="000000"/>
        </w:rPr>
        <w:t>The Random Forest achieved training R² = 0.973 and 5-fold CV R² = 0.881, meaning the model generalises well beyond the training data. The Gradient Boosting Machine and GPR both achieved training R² of 1.000, indicating memorisation of the training data rather than true generalisation — a common occurrence with flexible non-parametric methods and small sample sizes. Their cross-validation performance (GBM 5-CV R² = 0.980) is nonetheless impressive. The SVR performed poorly (train R² = 0.262, CV R² = 0.077), suggesting that the default RBF kernel with grid-searched hyperparameters is not well matched to the structure of this dataset.</w:t>
      </w:r>
    </w:p>
    <w:p w14:paraId="5215BA63" w14:textId="77777777" w:rsidR="00C93607" w:rsidRDefault="00000000">
      <w:pPr>
        <w:spacing w:before="60" w:after="60" w:line="360" w:lineRule="auto"/>
        <w:jc w:val="both"/>
      </w:pPr>
      <w:r>
        <w:rPr>
          <w:color w:val="000000"/>
        </w:rPr>
        <w:t>The three most important features — normalised rank (0.278), peak water level (0.224) and discharge anomaly (0.214), together explaining 71.5% of variance — tell an interesting physical story. The dominance of normalised rank reflects the fact that annual flood peaks are governed to a substantial degree by the climatological regime: wet years produce wet flood seasons, and the rank of a year within the historical record is a proxy for that regime. The importance of peak water level (0.224) is physically straightforward: it is directly related to discharge through the stage-discharge rating curve. The discharge anomaly — the departure of a year's peak from the 5-year rolling mean — captures how much the basin state departs from its recent climatological context, essentially quantifying the impact of antecedent hydrological conditions on flood generation.</w:t>
      </w:r>
    </w:p>
    <w:p w14:paraId="269C3631" w14:textId="77777777" w:rsidR="00C93607" w:rsidRDefault="00000000">
      <w:pPr>
        <w:spacing w:before="60" w:after="60" w:line="360" w:lineRule="auto"/>
        <w:jc w:val="both"/>
      </w:pPr>
      <w:r>
        <w:rPr>
          <w:color w:val="000000"/>
        </w:rPr>
        <w:t>The near-zero importance of day-of-year (0.017) is notable and physically meaningful: it confirms that when a flood occurs within the monsoon season has little bearing on how large it will be, at least at the annual timescale. This is consistent with the basin's orographically forced monsoon hydrology, where the Western Ghats intercept moisture from the Arabian Sea without strong seasonal timing effects on peak magnitude.</w:t>
      </w:r>
    </w:p>
    <w:p w14:paraId="51D7C18D" w14:textId="77777777" w:rsidR="00C93607" w:rsidRDefault="00000000">
      <w:pPr>
        <w:spacing w:before="120" w:after="60"/>
        <w:jc w:val="center"/>
      </w:pPr>
      <w:r>
        <w:rPr>
          <w:noProof/>
        </w:rPr>
        <w:drawing>
          <wp:inline distT="0" distB="0" distL="0" distR="0" wp14:anchorId="193AB2B3" wp14:editId="7BE642DB">
            <wp:extent cx="5715000" cy="3648075"/>
            <wp:effectExtent l="0" t="0" r="0" b="0"/>
            <wp:docPr id="917438877" name="Picture 91743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648075"/>
                    </a:xfrm>
                    <a:prstGeom prst="rect">
                      <a:avLst/>
                    </a:prstGeom>
                  </pic:spPr>
                </pic:pic>
              </a:graphicData>
            </a:graphic>
          </wp:inline>
        </w:drawing>
      </w:r>
    </w:p>
    <w:p w14:paraId="5D293090" w14:textId="77777777" w:rsidR="00C93607" w:rsidRDefault="00000000">
      <w:pPr>
        <w:spacing w:before="60" w:after="200"/>
        <w:jc w:val="center"/>
      </w:pPr>
      <w:r>
        <w:rPr>
          <w:rFonts w:ascii="Arial" w:eastAsia="Arial" w:hAnsi="Arial" w:cs="Arial"/>
          <w:i/>
          <w:iCs/>
          <w:color w:val="333333"/>
          <w:sz w:val="19"/>
          <w:szCs w:val="19"/>
        </w:rPr>
        <w:t>Figure 14. Joint distribution of Q(t) and Q(t−1) with Spearman ρ = 0.237 and regression line. The scatter shows no strong linear relationship between consecutive annual peaks, confirming the weak autocorrelation finding from the ACF analysis. The marginal histograms confirm the right-skewed distribution of the peak discharge series.</w:t>
      </w:r>
    </w:p>
    <w:p w14:paraId="1038E533" w14:textId="77777777" w:rsidR="00C93607" w:rsidRDefault="00000000">
      <w:pPr>
        <w:pStyle w:val="Heading2"/>
      </w:pPr>
      <w:r>
        <w:rPr>
          <w:color w:val="1A6B5A"/>
        </w:rPr>
        <w:t>5.7  Comprehensive Summary</w:t>
      </w:r>
    </w:p>
    <w:p w14:paraId="71BD83AE" w14:textId="77777777" w:rsidR="00C93607" w:rsidRDefault="00000000">
      <w:pPr>
        <w:spacing w:before="120" w:after="60"/>
        <w:jc w:val="center"/>
      </w:pPr>
      <w:r>
        <w:rPr>
          <w:noProof/>
        </w:rPr>
        <w:drawing>
          <wp:inline distT="0" distB="0" distL="0" distR="0" wp14:anchorId="4B9FD6DA" wp14:editId="4E023672">
            <wp:extent cx="5715000" cy="5372100"/>
            <wp:effectExtent l="0" t="0" r="0" b="0"/>
            <wp:docPr id="234109933" name="Picture 23410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5372100"/>
                    </a:xfrm>
                    <a:prstGeom prst="rect">
                      <a:avLst/>
                    </a:prstGeom>
                  </pic:spPr>
                </pic:pic>
              </a:graphicData>
            </a:graphic>
          </wp:inline>
        </w:drawing>
      </w:r>
    </w:p>
    <w:p w14:paraId="0E71A638" w14:textId="77777777" w:rsidR="00C93607" w:rsidRDefault="00000000">
      <w:pPr>
        <w:spacing w:before="60" w:after="200"/>
        <w:jc w:val="center"/>
      </w:pPr>
      <w:r>
        <w:rPr>
          <w:rFonts w:ascii="Arial" w:eastAsia="Arial" w:hAnsi="Arial" w:cs="Arial"/>
          <w:i/>
          <w:iCs/>
          <w:color w:val="333333"/>
          <w:sz w:val="19"/>
          <w:szCs w:val="19"/>
        </w:rPr>
        <w:t>Figure 15. Comprehensive analysis summary: (a) decadal ridgeline plot showing persistent right skewness across all decades; (b) Gumbel probability paper with 95% CI band; (c) decade box-and-swarm plot; (d) ECDF vs four theoretical CDFs; (e) design flood heatmap across six distributions and nine return periods; (f) GPR time-series reconstruction with ±1σ and ±2σ uncertainty bands.</w:t>
      </w:r>
    </w:p>
    <w:p w14:paraId="39027D7F" w14:textId="77777777" w:rsidR="00C93607" w:rsidRDefault="00000000">
      <w:pPr>
        <w:spacing w:before="60" w:after="60" w:line="360" w:lineRule="auto"/>
        <w:jc w:val="both"/>
      </w:pPr>
      <w:r>
        <w:rPr>
          <w:color w:val="000000"/>
        </w:rPr>
        <w:t>Figure 15 panel (e) — the design flood heatmap — provides the most concise summary of the full results. It shows immediately where different distributions agree (the left-hand columns, T = 2–10 years) and where they diverge (the right-hand columns, T ≥ 100 years). The colour gradient from cool (lower discharges) to warm (higher discharges) visually tracks the rapid escalation of estimates with return period under the unbounded distributions. The GEV column shows a capped value of 20,000 m³/s across all return periods, reflecting the divergent MLE fit noted earlier — this column should be ignored for design purposes.</w:t>
      </w:r>
    </w:p>
    <w:p w14:paraId="2F955218" w14:textId="77777777" w:rsidR="00C93607" w:rsidRDefault="00000000">
      <w:r>
        <w:br w:type="page"/>
      </w:r>
    </w:p>
    <w:p w14:paraId="0E7B3E36" w14:textId="77777777" w:rsidR="00C93607" w:rsidRDefault="00000000">
      <w:pPr>
        <w:pStyle w:val="Heading1"/>
        <w:pBdr>
          <w:bottom w:val="single" w:sz="8" w:space="6" w:color="1B3A6B"/>
        </w:pBdr>
      </w:pPr>
      <w:r>
        <w:rPr>
          <w:color w:val="1B3A6B"/>
        </w:rPr>
        <w:t>6. Engineering Design Recommendations</w:t>
      </w:r>
    </w:p>
    <w:p w14:paraId="290E48C7" w14:textId="77777777" w:rsidR="00C93607" w:rsidRDefault="00000000">
      <w:pPr>
        <w:spacing w:before="60" w:after="60" w:line="360" w:lineRule="auto"/>
        <w:jc w:val="both"/>
      </w:pPr>
      <w:r>
        <w:rPr>
          <w:color w:val="000000"/>
        </w:rPr>
        <w:t>The results of this study support the following specific design flood recommendations for hydraulic infrastructure at the Karad cross-section. These are grounded in the multi-distribution analysis and uncertainty quantification, rather than in a single distribution, and they distinguish between return period ranges where the analysis is robust and where it carries significant uncertainty.</w:t>
      </w:r>
    </w:p>
    <w:p w14:paraId="240AC5BF" w14:textId="77777777" w:rsidR="00C93607" w:rsidRDefault="00000000">
      <w:pPr>
        <w:spacing w:before="160" w:after="60"/>
      </w:pPr>
      <w:r>
        <w:rPr>
          <w:rFonts w:ascii="Arial" w:eastAsia="Arial" w:hAnsi="Arial" w:cs="Arial"/>
          <w:b/>
          <w:bCs/>
          <w:color w:val="1B3A6B"/>
          <w:sz w:val="20"/>
          <w:szCs w:val="20"/>
        </w:rPr>
        <w:t>Table 7. Recommended design floods for hydraulic structures at Karad (AK000X6) per CWC IS 11223:1985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700"/>
        <w:gridCol w:w="1600"/>
        <w:gridCol w:w="1760"/>
      </w:tblGrid>
      <w:tr w:rsidR="00C93607" w14:paraId="7B5A21C7"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C5106DB" w14:textId="77777777" w:rsidR="00C93607" w:rsidRDefault="00000000">
            <w:pPr>
              <w:jc w:val="center"/>
            </w:pPr>
            <w:r>
              <w:rPr>
                <w:rFonts w:ascii="Arial" w:eastAsia="Arial" w:hAnsi="Arial" w:cs="Arial"/>
                <w:b/>
                <w:bCs/>
                <w:color w:val="FFFFFF"/>
                <w:sz w:val="19"/>
                <w:szCs w:val="19"/>
              </w:rPr>
              <w:t>Structure / Application</w:t>
            </w:r>
          </w:p>
        </w:tc>
        <w:tc>
          <w:tcPr>
            <w:tcW w:w="15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B80CA8F" w14:textId="77777777" w:rsidR="00C93607" w:rsidRDefault="00000000">
            <w:pPr>
              <w:jc w:val="center"/>
            </w:pPr>
            <w:r>
              <w:rPr>
                <w:rFonts w:ascii="Arial" w:eastAsia="Arial" w:hAnsi="Arial" w:cs="Arial"/>
                <w:b/>
                <w:bCs/>
                <w:color w:val="FFFFFF"/>
                <w:sz w:val="19"/>
                <w:szCs w:val="19"/>
              </w:rPr>
              <w:t>CWC Design T</w:t>
            </w:r>
          </w:p>
        </w:tc>
        <w:tc>
          <w:tcPr>
            <w:tcW w:w="17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6E7C954" w14:textId="77777777" w:rsidR="00C93607" w:rsidRDefault="00000000">
            <w:pPr>
              <w:jc w:val="center"/>
            </w:pPr>
            <w:r>
              <w:rPr>
                <w:rFonts w:ascii="Arial" w:eastAsia="Arial" w:hAnsi="Arial" w:cs="Arial"/>
                <w:b/>
                <w:bCs/>
                <w:color w:val="FFFFFF"/>
                <w:sz w:val="19"/>
                <w:szCs w:val="19"/>
              </w:rPr>
              <w:t>Recommended Q (m³/s)</w:t>
            </w:r>
          </w:p>
        </w:tc>
        <w:tc>
          <w:tcPr>
            <w:tcW w:w="1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523A59C" w14:textId="77777777" w:rsidR="00C93607" w:rsidRDefault="00000000">
            <w:pPr>
              <w:jc w:val="center"/>
            </w:pPr>
            <w:r>
              <w:rPr>
                <w:rFonts w:ascii="Arial" w:eastAsia="Arial" w:hAnsi="Arial" w:cs="Arial"/>
                <w:b/>
                <w:bCs/>
                <w:color w:val="FFFFFF"/>
                <w:sz w:val="19"/>
                <w:szCs w:val="19"/>
              </w:rPr>
              <w:t>Basis</w:t>
            </w:r>
          </w:p>
        </w:tc>
        <w:tc>
          <w:tcPr>
            <w:tcW w:w="17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3952285" w14:textId="77777777" w:rsidR="00C93607" w:rsidRDefault="00000000">
            <w:pPr>
              <w:jc w:val="center"/>
            </w:pPr>
            <w:r>
              <w:rPr>
                <w:rFonts w:ascii="Arial" w:eastAsia="Arial" w:hAnsi="Arial" w:cs="Arial"/>
                <w:b/>
                <w:bCs/>
                <w:color w:val="FFFFFF"/>
                <w:sz w:val="19"/>
                <w:szCs w:val="19"/>
              </w:rPr>
              <w:t>Uncertainty level</w:t>
            </w:r>
          </w:p>
        </w:tc>
      </w:tr>
      <w:tr w:rsidR="00C93607" w14:paraId="3161F4E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BCECAD9" w14:textId="77777777" w:rsidR="00C93607" w:rsidRDefault="00000000">
            <w:r>
              <w:rPr>
                <w:sz w:val="19"/>
                <w:szCs w:val="19"/>
              </w:rPr>
              <w:t>Minor bridges, culverts</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748D4E7" w14:textId="77777777" w:rsidR="00C93607" w:rsidRDefault="00000000">
            <w:pPr>
              <w:jc w:val="center"/>
            </w:pPr>
            <w:r>
              <w:rPr>
                <w:sz w:val="19"/>
                <w:szCs w:val="19"/>
              </w:rPr>
              <w:t>T = 25 yr</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01C753E" w14:textId="77777777" w:rsidR="00C93607" w:rsidRDefault="00000000">
            <w:pPr>
              <w:jc w:val="center"/>
            </w:pPr>
            <w:r>
              <w:rPr>
                <w:sz w:val="19"/>
                <w:szCs w:val="19"/>
              </w:rPr>
              <w:t>5,659 – 6,375</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ECA7E65" w14:textId="77777777" w:rsidR="00C93607" w:rsidRDefault="00000000">
            <w:pPr>
              <w:jc w:val="center"/>
            </w:pPr>
            <w:r>
              <w:rPr>
                <w:sz w:val="19"/>
                <w:szCs w:val="19"/>
              </w:rPr>
              <w:t>Gumbel / LP3 range</w:t>
            </w:r>
          </w:p>
        </w:tc>
        <w:tc>
          <w:tcPr>
            <w:tcW w:w="1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95FF5B5" w14:textId="77777777" w:rsidR="00C93607" w:rsidRDefault="00000000">
            <w:pPr>
              <w:jc w:val="center"/>
            </w:pPr>
            <w:r>
              <w:rPr>
                <w:sz w:val="19"/>
                <w:szCs w:val="19"/>
              </w:rPr>
              <w:t>Low (±7%)</w:t>
            </w:r>
          </w:p>
        </w:tc>
      </w:tr>
      <w:tr w:rsidR="00C93607" w14:paraId="60CEF55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FCF4B9" w14:textId="77777777" w:rsidR="00C93607" w:rsidRDefault="00000000">
            <w:r>
              <w:rPr>
                <w:sz w:val="19"/>
                <w:szCs w:val="19"/>
              </w:rPr>
              <w:t>Major road bridges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451687" w14:textId="77777777" w:rsidR="00C93607" w:rsidRDefault="00000000">
            <w:pPr>
              <w:jc w:val="center"/>
            </w:pPr>
            <w:r>
              <w:rPr>
                <w:sz w:val="19"/>
                <w:szCs w:val="19"/>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7E112A" w14:textId="77777777" w:rsidR="00C93607" w:rsidRDefault="00000000">
            <w:pPr>
              <w:jc w:val="center"/>
            </w:pPr>
            <w:r>
              <w:rPr>
                <w:sz w:val="19"/>
                <w:szCs w:val="19"/>
              </w:rPr>
              <w:t>7,181 – 8,923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651CBF" w14:textId="77777777" w:rsidR="00C93607" w:rsidRDefault="00000000">
            <w:pPr>
              <w:jc w:val="center"/>
            </w:pPr>
            <w:r>
              <w:rPr>
                <w:sz w:val="19"/>
                <w:szCs w:val="19"/>
              </w:rPr>
              <w:t>Gumbel / LP3 range</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0CB6D5" w14:textId="77777777" w:rsidR="00C93607" w:rsidRDefault="00000000">
            <w:pPr>
              <w:jc w:val="center"/>
            </w:pPr>
            <w:r>
              <w:rPr>
                <w:sz w:val="19"/>
                <w:szCs w:val="19"/>
              </w:rPr>
              <w:t>Moderate (±18%)</w:t>
            </w:r>
          </w:p>
        </w:tc>
      </w:tr>
      <w:tr w:rsidR="00C93607" w14:paraId="75070B0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EA74DCA" w14:textId="77777777" w:rsidR="00C93607" w:rsidRDefault="00000000">
            <w:r>
              <w:rPr>
                <w:sz w:val="19"/>
                <w:szCs w:val="19"/>
              </w:rPr>
              <w:t>Railway bridges</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604540" w14:textId="77777777" w:rsidR="00C93607" w:rsidRDefault="00000000">
            <w:pPr>
              <w:jc w:val="center"/>
            </w:pPr>
            <w:r>
              <w:rPr>
                <w:sz w:val="19"/>
                <w:szCs w:val="19"/>
              </w:rPr>
              <w:t>T = 100–200 yr</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F4DA6A7" w14:textId="77777777" w:rsidR="00C93607" w:rsidRDefault="00000000">
            <w:pPr>
              <w:jc w:val="center"/>
            </w:pPr>
            <w:r>
              <w:rPr>
                <w:sz w:val="19"/>
                <w:szCs w:val="19"/>
              </w:rPr>
              <w:t>7,181 – 10,360</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0FF3EFD" w14:textId="77777777" w:rsidR="00C93607" w:rsidRDefault="00000000">
            <w:pPr>
              <w:jc w:val="center"/>
            </w:pPr>
            <w:r>
              <w:rPr>
                <w:sz w:val="19"/>
                <w:szCs w:val="19"/>
              </w:rPr>
              <w:t>Gumbel / LP3 range</w:t>
            </w:r>
          </w:p>
        </w:tc>
        <w:tc>
          <w:tcPr>
            <w:tcW w:w="1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B206673" w14:textId="77777777" w:rsidR="00C93607" w:rsidRDefault="00000000">
            <w:pPr>
              <w:jc w:val="center"/>
            </w:pPr>
            <w:r>
              <w:rPr>
                <w:sz w:val="19"/>
                <w:szCs w:val="19"/>
              </w:rPr>
              <w:t>Moderate</w:t>
            </w:r>
          </w:p>
        </w:tc>
      </w:tr>
      <w:tr w:rsidR="00C93607" w14:paraId="2A375EC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3F607E" w14:textId="77777777" w:rsidR="00C93607" w:rsidRDefault="00000000">
            <w:r>
              <w:rPr>
                <w:sz w:val="19"/>
                <w:szCs w:val="19"/>
              </w:rPr>
              <w:t>Irrigation weirs &amp; barrages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657DF0" w14:textId="77777777" w:rsidR="00C93607" w:rsidRDefault="00000000">
            <w:pPr>
              <w:jc w:val="center"/>
            </w:pPr>
            <w:r>
              <w:rPr>
                <w:sz w:val="19"/>
                <w:szCs w:val="19"/>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9D5AEC" w14:textId="77777777" w:rsidR="00C93607" w:rsidRDefault="00000000">
            <w:pPr>
              <w:jc w:val="center"/>
            </w:pPr>
            <w:r>
              <w:rPr>
                <w:sz w:val="19"/>
                <w:szCs w:val="19"/>
              </w:rPr>
              <w:t>7,478 (Bayesian mean)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B5D770" w14:textId="77777777" w:rsidR="00C93607" w:rsidRDefault="00000000">
            <w:pPr>
              <w:jc w:val="center"/>
            </w:pPr>
            <w:r>
              <w:rPr>
                <w:sz w:val="19"/>
                <w:szCs w:val="19"/>
              </w:rPr>
              <w:t>Bayesian MCMC</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16DD60" w14:textId="77777777" w:rsidR="00C93607" w:rsidRDefault="00000000">
            <w:pPr>
              <w:jc w:val="center"/>
            </w:pPr>
            <w:r>
              <w:rPr>
                <w:sz w:val="19"/>
                <w:szCs w:val="19"/>
              </w:rPr>
              <w:t>Moderate</w:t>
            </w:r>
          </w:p>
        </w:tc>
      </w:tr>
      <w:tr w:rsidR="00C93607" w14:paraId="31D076C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93AD267" w14:textId="77777777" w:rsidR="00C93607" w:rsidRDefault="00000000">
            <w:r>
              <w:rPr>
                <w:sz w:val="19"/>
                <w:szCs w:val="19"/>
              </w:rPr>
              <w:t>Important irrigation dams</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0A68D69" w14:textId="77777777" w:rsidR="00C93607" w:rsidRDefault="00000000">
            <w:pPr>
              <w:jc w:val="center"/>
            </w:pPr>
            <w:r>
              <w:rPr>
                <w:sz w:val="19"/>
                <w:szCs w:val="19"/>
              </w:rPr>
              <w:t>T = 1,000 yr</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08BE6BD" w14:textId="77777777" w:rsidR="00C93607" w:rsidRDefault="00000000">
            <w:pPr>
              <w:jc w:val="center"/>
            </w:pPr>
            <w:r>
              <w:rPr>
                <w:sz w:val="19"/>
                <w:szCs w:val="19"/>
              </w:rPr>
              <w:t>9,687 – 14,197</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1FA239" w14:textId="77777777" w:rsidR="00C93607" w:rsidRDefault="00000000">
            <w:pPr>
              <w:jc w:val="center"/>
            </w:pPr>
            <w:r>
              <w:rPr>
                <w:sz w:val="19"/>
                <w:szCs w:val="19"/>
              </w:rPr>
              <w:t>Gumbel to LP3 range</w:t>
            </w:r>
          </w:p>
        </w:tc>
        <w:tc>
          <w:tcPr>
            <w:tcW w:w="1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29F3C14" w14:textId="77777777" w:rsidR="00C93607" w:rsidRDefault="00000000">
            <w:pPr>
              <w:jc w:val="center"/>
            </w:pPr>
            <w:r>
              <w:rPr>
                <w:sz w:val="19"/>
                <w:szCs w:val="19"/>
              </w:rPr>
              <w:t>High (±25%)</w:t>
            </w:r>
          </w:p>
        </w:tc>
      </w:tr>
      <w:tr w:rsidR="00C93607" w14:paraId="1B70E89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6A5E68" w14:textId="77777777" w:rsidR="00C93607" w:rsidRDefault="00000000">
            <w:r>
              <w:rPr>
                <w:sz w:val="19"/>
                <w:szCs w:val="19"/>
              </w:rPr>
              <w:t>Large dams – safety check</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B494A5" w14:textId="77777777" w:rsidR="00C93607" w:rsidRDefault="00000000">
            <w:pPr>
              <w:jc w:val="center"/>
            </w:pPr>
            <w:r>
              <w:rPr>
                <w:sz w:val="19"/>
                <w:szCs w:val="19"/>
              </w:rPr>
              <w:t>T = 1,000 yr + PMF</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B7681E" w14:textId="77777777" w:rsidR="00C93607" w:rsidRDefault="00000000">
            <w:pPr>
              <w:jc w:val="center"/>
            </w:pPr>
            <w:r>
              <w:rPr>
                <w:sz w:val="19"/>
                <w:szCs w:val="19"/>
              </w:rPr>
              <w:t>Use PMF method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220936" w14:textId="77777777" w:rsidR="00C93607" w:rsidRDefault="00000000">
            <w:pPr>
              <w:jc w:val="center"/>
            </w:pPr>
            <w:r>
              <w:rPr>
                <w:sz w:val="19"/>
                <w:szCs w:val="19"/>
              </w:rPr>
              <w:t>GPD upper bound ~7,271</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C82CF0" w14:textId="77777777" w:rsidR="00C93607" w:rsidRDefault="00000000">
            <w:pPr>
              <w:jc w:val="center"/>
            </w:pPr>
            <w:r>
              <w:rPr>
                <w:sz w:val="19"/>
                <w:szCs w:val="19"/>
              </w:rPr>
              <w:t>Very high — physical method preferred</w:t>
            </w:r>
          </w:p>
        </w:tc>
      </w:tr>
      <w:tr w:rsidR="00C93607" w14:paraId="4F4A39A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59827B2" w14:textId="77777777" w:rsidR="00C93607" w:rsidRDefault="00000000">
            <w:r>
              <w:rPr>
                <w:sz w:val="19"/>
                <w:szCs w:val="19"/>
              </w:rPr>
              <w:t>Flood plain demarcation</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937CA01" w14:textId="77777777" w:rsidR="00C93607" w:rsidRDefault="00000000">
            <w:pPr>
              <w:jc w:val="center"/>
            </w:pPr>
            <w:r>
              <w:rPr>
                <w:sz w:val="19"/>
                <w:szCs w:val="19"/>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C4D693E" w14:textId="77777777" w:rsidR="00C93607" w:rsidRDefault="00000000">
            <w:pPr>
              <w:jc w:val="center"/>
            </w:pPr>
            <w:r>
              <w:rPr>
                <w:sz w:val="19"/>
                <w:szCs w:val="19"/>
              </w:rPr>
              <w:t>7,181 (Gumbel, conservative)</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0CB6A68" w14:textId="77777777" w:rsidR="00C93607" w:rsidRDefault="00000000">
            <w:pPr>
              <w:jc w:val="center"/>
            </w:pPr>
            <w:r>
              <w:rPr>
                <w:sz w:val="19"/>
                <w:szCs w:val="19"/>
              </w:rPr>
              <w:t>CWC IS 11223</w:t>
            </w:r>
          </w:p>
        </w:tc>
        <w:tc>
          <w:tcPr>
            <w:tcW w:w="1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6BDED6C" w14:textId="77777777" w:rsidR="00C93607" w:rsidRDefault="00000000">
            <w:pPr>
              <w:jc w:val="center"/>
            </w:pPr>
            <w:r>
              <w:rPr>
                <w:sz w:val="19"/>
                <w:szCs w:val="19"/>
              </w:rPr>
              <w:t>Moderate</w:t>
            </w:r>
          </w:p>
        </w:tc>
      </w:tr>
      <w:tr w:rsidR="00C93607" w14:paraId="70273CD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937BD6" w14:textId="77777777" w:rsidR="00C93607" w:rsidRDefault="00000000">
            <w:r>
              <w:rPr>
                <w:sz w:val="19"/>
                <w:szCs w:val="19"/>
              </w:rPr>
              <w:t>Urban drainage (Karad town)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02A05A" w14:textId="77777777" w:rsidR="00C93607" w:rsidRDefault="00000000">
            <w:pPr>
              <w:jc w:val="center"/>
            </w:pPr>
            <w:r>
              <w:rPr>
                <w:sz w:val="19"/>
                <w:szCs w:val="19"/>
              </w:rPr>
              <w:t>T = 25–50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CE6DD7" w14:textId="77777777" w:rsidR="00C93607" w:rsidRDefault="00000000">
            <w:pPr>
              <w:jc w:val="center"/>
            </w:pPr>
            <w:r>
              <w:rPr>
                <w:sz w:val="19"/>
                <w:szCs w:val="19"/>
              </w:rPr>
              <w:t>5,659 – 6,423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58C671" w14:textId="77777777" w:rsidR="00C93607" w:rsidRDefault="00000000">
            <w:pPr>
              <w:jc w:val="center"/>
            </w:pPr>
            <w:r>
              <w:rPr>
                <w:sz w:val="19"/>
                <w:szCs w:val="19"/>
              </w:rPr>
              <w:t>Gumbel MOM</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C1C820" w14:textId="77777777" w:rsidR="00C93607" w:rsidRDefault="00000000">
            <w:pPr>
              <w:jc w:val="center"/>
            </w:pPr>
            <w:r>
              <w:rPr>
                <w:sz w:val="19"/>
                <w:szCs w:val="19"/>
              </w:rPr>
              <w:t>Low</w:t>
            </w:r>
          </w:p>
        </w:tc>
      </w:tr>
    </w:tbl>
    <w:p w14:paraId="2C557C9D" w14:textId="77777777" w:rsidR="00C93607" w:rsidRDefault="00000000">
      <w:pPr>
        <w:spacing w:before="60" w:after="60" w:line="360" w:lineRule="auto"/>
        <w:jc w:val="both"/>
      </w:pPr>
      <w:r>
        <w:rPr>
          <w:color w:val="000000"/>
        </w:rPr>
        <w:t>Two engineering judgements underpin Table 7. For return periods up to 100 years, the Gumbel distribution is recommended as the primary design tool (consistent with CWC IS 11223:1985), with LP3 results used as a sensitivity check. For return periods of 500 years and beyond, the GPD-bounded estimate should be considered alongside the parametric methods. The observed convergence of the GPD upper bound (7,271 m³/s) with the historical maximum (7,177 m³/s) suggests that parametric distributions should not be extrapolated to T &gt; 1,000 years without independent hydrometeorological validation.</w:t>
      </w:r>
    </w:p>
    <w:p w14:paraId="669A6694" w14:textId="77777777" w:rsidR="00C93607" w:rsidRDefault="00000000">
      <w:r>
        <w:br w:type="page"/>
      </w:r>
    </w:p>
    <w:p w14:paraId="4C5E29E9" w14:textId="77777777" w:rsidR="00C93607" w:rsidRDefault="00000000">
      <w:pPr>
        <w:pStyle w:val="Heading1"/>
        <w:pBdr>
          <w:bottom w:val="single" w:sz="8" w:space="6" w:color="1B3A6B"/>
        </w:pBdr>
      </w:pPr>
      <w:r>
        <w:rPr>
          <w:color w:val="1B3A6B"/>
        </w:rPr>
        <w:t>7. Conclusion</w:t>
      </w:r>
    </w:p>
    <w:p w14:paraId="537AA9EF" w14:textId="77777777" w:rsidR="00C93607" w:rsidRDefault="00000000">
      <w:pPr>
        <w:spacing w:before="60" w:after="60" w:line="360" w:lineRule="auto"/>
        <w:jc w:val="both"/>
      </w:pPr>
      <w:r>
        <w:rPr>
          <w:color w:val="000000"/>
        </w:rPr>
        <w:t>This study set out to determine whether the standard CWC approach to flood frequency analysis at the Karad gauging station — a single Gumbel distribution fitted by the Method of Moments, without uncertainty quantification — is adequate for modern engineering practice. The answer is nuanced: the Gumbel distribution is scientifically legitimate at this station (the data are stationary, non-normal, and consistent with EV1 structure), but it is not the best-fitting distribution, its estimates carry substantial uncertainty that is not currently communicated, and it should not be extrapolated to very long return periods without the physical bounding evidence provided by the POT analysis.</w:t>
      </w:r>
    </w:p>
    <w:p w14:paraId="23D60AF2" w14:textId="77777777" w:rsidR="00C93607" w:rsidRDefault="00000000">
      <w:pPr>
        <w:spacing w:before="60" w:after="60" w:line="360" w:lineRule="auto"/>
        <w:jc w:val="both"/>
      </w:pPr>
      <w:r>
        <w:rPr>
          <w:color w:val="000000"/>
        </w:rPr>
        <w:t xml:space="preserve">The four objectives set at the outset were all achieved. Objective 1 — assumption verification — confirmed that the 57-year series is fully stationary (ADF p ≈ 0.000, KPSS p &gt; 0.10), trend-free (MK p = 0.299), uncorrelated (all Ljung-Box p &gt; 0.05), and clearly non-normally distributed (Shapiro-Wilk p &lt; 0.001). Objective 2 — distribution fitting — showed that the Log-Pearson III is the superior distribution by an overwhelming information-theoretic margin (Akaike weight = 1.000, </w:t>
      </w:r>
      <w:proofErr w:type="spellStart"/>
      <w:r>
        <w:rPr>
          <w:color w:val="000000"/>
        </w:rPr>
        <w:t>AICc</w:t>
      </w:r>
      <w:proofErr w:type="spellEnd"/>
      <w:r>
        <w:rPr>
          <w:color w:val="000000"/>
        </w:rPr>
        <w:t xml:space="preserve"> advantage &gt; 890 units over all competitors), while the Gumbel ranks seventh. Objective 3 — uncertainty quantification — produced convergent 95% intervals for Q₁₀₀ from three independent methods: bootstrap [5,923; 8,458], Monte Carlo [6,068; 8,246] (90%) and Bayesian [6,268; 8,947] m³/s. The POT analysis independently confirmed Q₁₀₀ = 6,973 m³/s and, crucially, identified a physical upper bound near 7,271 m³/s. Objective 4 — machine learning — identified discharge rank, water level and discharge anomaly as the dominant predictors (joint importance 71.5%) and confirmed that flood magnitude is climatologically governed rather than strongly autocorrelated.</w:t>
      </w:r>
    </w:p>
    <w:p w14:paraId="656EA693" w14:textId="77777777" w:rsidR="00C93607" w:rsidRDefault="00000000">
      <w:pPr>
        <w:spacing w:before="60" w:after="60" w:line="360" w:lineRule="auto"/>
        <w:jc w:val="both"/>
      </w:pPr>
      <w:r>
        <w:rPr>
          <w:color w:val="000000"/>
        </w:rPr>
        <w:t>The broader message of this study for Indian hydrological practice is that multi-distribution FFA with formal uncertainty quantification produces substantially better-informed engineering guidance than the single-distribution CWC approach. The cost in terms of computational effort is minimal; modern Python-based tools make the full analysis reproducible in a matter of minutes. The benefit is that engineers can see not just what the design flood estimate is, but how confident we should be in it and how much it depends on the choice of distribution. For a nation that is investing heavily in water infrastructure and facing growing flood risk, this kind of honest uncertainty communication is not optional — it is the foundation of responsible engineering.</w:t>
      </w:r>
    </w:p>
    <w:p w14:paraId="60F94C3D" w14:textId="77777777" w:rsidR="00C93607" w:rsidRDefault="00000000">
      <w:pPr>
        <w:spacing w:before="60" w:after="60" w:line="360" w:lineRule="auto"/>
        <w:jc w:val="both"/>
      </w:pPr>
      <w:r>
        <w:rPr>
          <w:color w:val="000000"/>
        </w:rPr>
        <w:t xml:space="preserve">Future work should extend this multi-distribution framework to the other major gauging stations in the Upper Krishna Basin — </w:t>
      </w:r>
      <w:proofErr w:type="spellStart"/>
      <w:r>
        <w:rPr>
          <w:color w:val="000000"/>
        </w:rPr>
        <w:t>Samdoli</w:t>
      </w:r>
      <w:proofErr w:type="spellEnd"/>
      <w:r>
        <w:rPr>
          <w:color w:val="000000"/>
        </w:rPr>
        <w:t xml:space="preserve">, </w:t>
      </w:r>
      <w:proofErr w:type="spellStart"/>
      <w:r>
        <w:rPr>
          <w:color w:val="000000"/>
        </w:rPr>
        <w:t>Arjunwad</w:t>
      </w:r>
      <w:proofErr w:type="spellEnd"/>
      <w:r>
        <w:rPr>
          <w:color w:val="000000"/>
        </w:rPr>
        <w:t xml:space="preserve">, </w:t>
      </w:r>
      <w:proofErr w:type="spellStart"/>
      <w:r>
        <w:rPr>
          <w:color w:val="000000"/>
        </w:rPr>
        <w:t>Kurundwad</w:t>
      </w:r>
      <w:proofErr w:type="spellEnd"/>
      <w:r>
        <w:rPr>
          <w:color w:val="000000"/>
        </w:rPr>
        <w:t xml:space="preserve">, Koyna and Sangali — within a formal regional frequency analysis framework (Hosking &amp; Wallis, 1997). Regional analysis would reduce estimation uncertainty by borrowing strength across multiple sites, potentially halving the confidence interval width relative to at-site analysis. Non-stationary FFA methods (Cheng &amp; </w:t>
      </w:r>
      <w:proofErr w:type="spellStart"/>
      <w:r>
        <w:rPr>
          <w:color w:val="000000"/>
        </w:rPr>
        <w:t>AghaKouchak</w:t>
      </w:r>
      <w:proofErr w:type="spellEnd"/>
      <w:r>
        <w:rPr>
          <w:color w:val="000000"/>
        </w:rPr>
        <w:t xml:space="preserve">, 2014) should be revisited in 10–15 years, when the record will be long enough to distinguish genuine climate-driven non-stationarity from natural multi-decadal variability. The physical bounding evidence from the GPD analysis warrants follow-up through </w:t>
      </w:r>
      <w:proofErr w:type="spellStart"/>
      <w:r>
        <w:rPr>
          <w:color w:val="000000"/>
        </w:rPr>
        <w:t>paleoflood</w:t>
      </w:r>
      <w:proofErr w:type="spellEnd"/>
      <w:r>
        <w:rPr>
          <w:color w:val="000000"/>
        </w:rPr>
        <w:t xml:space="preserve"> reconstruction in the Krishna River gorges to extend the effective record length beyond the 57-year gauged period.</w:t>
      </w:r>
    </w:p>
    <w:p w14:paraId="56EE9D25" w14:textId="77777777" w:rsidR="00C93607" w:rsidRDefault="00000000">
      <w:r>
        <w:br w:type="page"/>
      </w:r>
    </w:p>
    <w:p w14:paraId="1B0F7E3E" w14:textId="77777777" w:rsidR="00C93607" w:rsidRDefault="00000000">
      <w:pPr>
        <w:pStyle w:val="Heading1"/>
        <w:pBdr>
          <w:bottom w:val="single" w:sz="8" w:space="6" w:color="1B3A6B"/>
        </w:pBdr>
      </w:pPr>
      <w:r>
        <w:rPr>
          <w:color w:val="1B3A6B"/>
        </w:rPr>
        <w:t>References</w:t>
      </w:r>
    </w:p>
    <w:p w14:paraId="3C6AD648" w14:textId="77777777" w:rsidR="00C93607" w:rsidRDefault="00000000">
      <w:pPr>
        <w:spacing w:before="40" w:after="40" w:line="300" w:lineRule="auto"/>
        <w:ind w:left="360" w:hanging="360"/>
        <w:jc w:val="both"/>
      </w:pPr>
      <w:r>
        <w:rPr>
          <w:sz w:val="22"/>
          <w:szCs w:val="22"/>
        </w:rPr>
        <w:t>Akaike, H. (1974). A new look at the statistical model identification. IEEE Transactions on Automatic Control, 19(6), 716–723.</w:t>
      </w:r>
    </w:p>
    <w:p w14:paraId="69AB661D" w14:textId="77777777" w:rsidR="00C93607" w:rsidRDefault="00000000">
      <w:pPr>
        <w:spacing w:before="40" w:after="40" w:line="300" w:lineRule="auto"/>
        <w:ind w:left="360" w:hanging="360"/>
        <w:jc w:val="both"/>
      </w:pPr>
      <w:r>
        <w:rPr>
          <w:sz w:val="22"/>
          <w:szCs w:val="22"/>
        </w:rPr>
        <w:t>Anderson, T.W., &amp; Darling, D.A. (1952). Asymptotic theory of certain goodness of fit criteria. Annals of Mathematical Statistics, 23(2), 193–212.</w:t>
      </w:r>
    </w:p>
    <w:p w14:paraId="6F795E31" w14:textId="77777777" w:rsidR="00C93607" w:rsidRDefault="00000000">
      <w:pPr>
        <w:spacing w:before="40" w:after="40" w:line="300" w:lineRule="auto"/>
        <w:ind w:left="360" w:hanging="360"/>
        <w:jc w:val="both"/>
      </w:pPr>
      <w:r>
        <w:rPr>
          <w:sz w:val="22"/>
          <w:szCs w:val="22"/>
        </w:rPr>
        <w:t>ASCE Task Committee. (2000). Artificial neural networks in hydrology. I: Preliminary concepts. Journal of Hydrologic Engineering, 5(2), 115–123.</w:t>
      </w:r>
    </w:p>
    <w:p w14:paraId="1E1F8114" w14:textId="77777777" w:rsidR="00C93607" w:rsidRDefault="00000000">
      <w:pPr>
        <w:spacing w:before="40" w:after="40" w:line="300" w:lineRule="auto"/>
        <w:ind w:left="360" w:hanging="360"/>
        <w:jc w:val="both"/>
      </w:pPr>
      <w:r>
        <w:rPr>
          <w:sz w:val="22"/>
          <w:szCs w:val="22"/>
        </w:rPr>
        <w:t>Balkema, A.A., &amp; de Haan, L. (1974). Residual life time at great age. Annals of Probability, 2(5), 792–804.</w:t>
      </w:r>
    </w:p>
    <w:p w14:paraId="39A798BC" w14:textId="77777777" w:rsidR="00C93607" w:rsidRDefault="00000000">
      <w:pPr>
        <w:spacing w:before="40" w:after="40" w:line="300" w:lineRule="auto"/>
        <w:ind w:left="360" w:hanging="360"/>
        <w:jc w:val="both"/>
      </w:pPr>
      <w:proofErr w:type="spellStart"/>
      <w:r>
        <w:rPr>
          <w:sz w:val="22"/>
          <w:szCs w:val="22"/>
        </w:rPr>
        <w:t>Breiman</w:t>
      </w:r>
      <w:proofErr w:type="spellEnd"/>
      <w:r>
        <w:rPr>
          <w:sz w:val="22"/>
          <w:szCs w:val="22"/>
        </w:rPr>
        <w:t>, L. (2001). Random forests. Machine Learning, 45(1), 5–32.</w:t>
      </w:r>
    </w:p>
    <w:p w14:paraId="6D9B2E2C" w14:textId="77777777" w:rsidR="00C93607" w:rsidRDefault="00000000">
      <w:pPr>
        <w:spacing w:before="40" w:after="40" w:line="300" w:lineRule="auto"/>
        <w:ind w:left="360" w:hanging="360"/>
        <w:jc w:val="both"/>
      </w:pPr>
      <w:r>
        <w:rPr>
          <w:sz w:val="22"/>
          <w:szCs w:val="22"/>
        </w:rPr>
        <w:t>Bureau of Indian Standards. (1985). IS 11223: Guidelines for fixing spillway capacity. New Delhi: BIS.</w:t>
      </w:r>
    </w:p>
    <w:p w14:paraId="754751EE" w14:textId="77777777" w:rsidR="00C93607" w:rsidRDefault="00000000">
      <w:pPr>
        <w:spacing w:before="40" w:after="40" w:line="300" w:lineRule="auto"/>
        <w:ind w:left="360" w:hanging="360"/>
        <w:jc w:val="both"/>
      </w:pPr>
      <w:r>
        <w:rPr>
          <w:sz w:val="22"/>
          <w:szCs w:val="22"/>
        </w:rPr>
        <w:t xml:space="preserve">Burnham, K.P., &amp; Anderson, D.R. (2002). Model selection and </w:t>
      </w:r>
      <w:proofErr w:type="spellStart"/>
      <w:r>
        <w:rPr>
          <w:sz w:val="22"/>
          <w:szCs w:val="22"/>
        </w:rPr>
        <w:t>multimodel</w:t>
      </w:r>
      <w:proofErr w:type="spellEnd"/>
      <w:r>
        <w:rPr>
          <w:sz w:val="22"/>
          <w:szCs w:val="22"/>
        </w:rPr>
        <w:t xml:space="preserve"> inference (2nd ed.). Springer.</w:t>
      </w:r>
    </w:p>
    <w:p w14:paraId="4C1F12B8" w14:textId="77777777" w:rsidR="00C93607" w:rsidRDefault="00000000">
      <w:pPr>
        <w:spacing w:before="40" w:after="40" w:line="300" w:lineRule="auto"/>
        <w:ind w:left="360" w:hanging="360"/>
        <w:jc w:val="both"/>
      </w:pPr>
      <w:r>
        <w:rPr>
          <w:sz w:val="22"/>
          <w:szCs w:val="22"/>
        </w:rPr>
        <w:t>Central Water Commission (CWC). (1966). Estimation of design flood: Recommended procedures. New Delhi: CWC.</w:t>
      </w:r>
    </w:p>
    <w:p w14:paraId="5F1DEF0A" w14:textId="77777777" w:rsidR="00C93607" w:rsidRDefault="00000000">
      <w:pPr>
        <w:spacing w:before="40" w:after="40" w:line="300" w:lineRule="auto"/>
        <w:ind w:left="360" w:hanging="360"/>
        <w:jc w:val="both"/>
      </w:pPr>
      <w:r>
        <w:rPr>
          <w:sz w:val="22"/>
          <w:szCs w:val="22"/>
        </w:rPr>
        <w:t>Central Water Commission (CWC). (1988). Flood estimation methods for catchments in India. New Delhi: CWC Hydrology Directorate.</w:t>
      </w:r>
    </w:p>
    <w:p w14:paraId="1A683671" w14:textId="77777777" w:rsidR="00C93607" w:rsidRDefault="00000000">
      <w:pPr>
        <w:spacing w:before="40" w:after="40" w:line="300" w:lineRule="auto"/>
        <w:ind w:left="360" w:hanging="360"/>
        <w:jc w:val="both"/>
      </w:pPr>
      <w:r>
        <w:rPr>
          <w:sz w:val="22"/>
          <w:szCs w:val="22"/>
        </w:rPr>
        <w:t>Central Water Commission (CWC). (2015). Report on flood frequency analysis for the Upper Krishna Basin. Technical Report TR-20. New Delhi: CWPRS/CWC.</w:t>
      </w:r>
    </w:p>
    <w:p w14:paraId="2AFD3E6E" w14:textId="77777777" w:rsidR="00C93607" w:rsidRDefault="00000000">
      <w:pPr>
        <w:spacing w:before="40" w:after="40" w:line="300" w:lineRule="auto"/>
        <w:ind w:left="360" w:hanging="360"/>
        <w:jc w:val="both"/>
      </w:pPr>
      <w:r>
        <w:rPr>
          <w:sz w:val="22"/>
          <w:szCs w:val="22"/>
        </w:rPr>
        <w:t>Central Water Commission (CWC). (2019). CWC Water Year Book 2021-22, Volume I. New Delhi: CWC.</w:t>
      </w:r>
    </w:p>
    <w:p w14:paraId="5050D056" w14:textId="77777777" w:rsidR="00C93607" w:rsidRDefault="00000000">
      <w:pPr>
        <w:spacing w:before="40" w:after="40" w:line="300" w:lineRule="auto"/>
        <w:ind w:left="360" w:hanging="360"/>
        <w:jc w:val="both"/>
      </w:pPr>
      <w:r>
        <w:rPr>
          <w:sz w:val="22"/>
          <w:szCs w:val="22"/>
        </w:rPr>
        <w:t xml:space="preserve">Cheng, L., &amp; </w:t>
      </w:r>
      <w:proofErr w:type="spellStart"/>
      <w:r>
        <w:rPr>
          <w:sz w:val="22"/>
          <w:szCs w:val="22"/>
        </w:rPr>
        <w:t>AghaKouchak</w:t>
      </w:r>
      <w:proofErr w:type="spellEnd"/>
      <w:r>
        <w:rPr>
          <w:sz w:val="22"/>
          <w:szCs w:val="22"/>
        </w:rPr>
        <w:t>, A. (2014). Nonstationary precipitation intensity-duration-frequency curves. Scientific Reports, 4, 7093.</w:t>
      </w:r>
    </w:p>
    <w:p w14:paraId="47554CEE" w14:textId="77777777" w:rsidR="00C93607" w:rsidRDefault="00000000">
      <w:pPr>
        <w:spacing w:before="40" w:after="40" w:line="300" w:lineRule="auto"/>
        <w:ind w:left="360" w:hanging="360"/>
        <w:jc w:val="both"/>
      </w:pPr>
      <w:r>
        <w:rPr>
          <w:sz w:val="22"/>
          <w:szCs w:val="22"/>
        </w:rPr>
        <w:t>Chow, V.T. (1951). A general formula for hydrologic frequency analysis. Transactions, AGU, 32(2), 231–237.</w:t>
      </w:r>
    </w:p>
    <w:p w14:paraId="2E753090" w14:textId="77777777" w:rsidR="00C93607" w:rsidRDefault="00000000">
      <w:pPr>
        <w:spacing w:before="40" w:after="40" w:line="300" w:lineRule="auto"/>
        <w:ind w:left="360" w:hanging="360"/>
        <w:jc w:val="both"/>
      </w:pPr>
      <w:r>
        <w:rPr>
          <w:sz w:val="22"/>
          <w:szCs w:val="22"/>
        </w:rPr>
        <w:t>Chow, V.T., Maidment, D.R., &amp; Mays, L.W. (1988). Applied hydrology. McGraw-Hill.</w:t>
      </w:r>
    </w:p>
    <w:p w14:paraId="60D4BF94" w14:textId="77777777" w:rsidR="00C93607" w:rsidRDefault="00000000">
      <w:pPr>
        <w:spacing w:before="40" w:after="40" w:line="300" w:lineRule="auto"/>
        <w:ind w:left="360" w:hanging="360"/>
        <w:jc w:val="both"/>
      </w:pPr>
      <w:r>
        <w:rPr>
          <w:sz w:val="22"/>
          <w:szCs w:val="22"/>
        </w:rPr>
        <w:t>Coles, S. (2001). An introduction to statistical modeling of extreme values. Springer.</w:t>
      </w:r>
    </w:p>
    <w:p w14:paraId="5CC6849A" w14:textId="77777777" w:rsidR="00C93607" w:rsidRDefault="00000000">
      <w:pPr>
        <w:spacing w:before="40" w:after="40" w:line="300" w:lineRule="auto"/>
        <w:ind w:left="360" w:hanging="360"/>
        <w:jc w:val="both"/>
      </w:pPr>
      <w:r>
        <w:rPr>
          <w:sz w:val="22"/>
          <w:szCs w:val="22"/>
        </w:rPr>
        <w:t xml:space="preserve">D'Agostino, R.B., &amp; Pearson, E.S. (1973). Tests for departure from normality. </w:t>
      </w:r>
      <w:proofErr w:type="spellStart"/>
      <w:r>
        <w:rPr>
          <w:sz w:val="22"/>
          <w:szCs w:val="22"/>
        </w:rPr>
        <w:t>Biometrika</w:t>
      </w:r>
      <w:proofErr w:type="spellEnd"/>
      <w:r>
        <w:rPr>
          <w:sz w:val="22"/>
          <w:szCs w:val="22"/>
        </w:rPr>
        <w:t>, 60(3), 613–622.</w:t>
      </w:r>
    </w:p>
    <w:p w14:paraId="46DA011B" w14:textId="77777777" w:rsidR="00C93607" w:rsidRDefault="00000000">
      <w:pPr>
        <w:spacing w:before="40" w:after="40" w:line="300" w:lineRule="auto"/>
        <w:ind w:left="360" w:hanging="360"/>
        <w:jc w:val="both"/>
      </w:pPr>
      <w:r>
        <w:rPr>
          <w:sz w:val="22"/>
          <w:szCs w:val="22"/>
        </w:rPr>
        <w:t>Davison, A.C., &amp; Smith, R.L. (1990). Models for exceedances over high thresholds. Journal of the Royal Statistical Society B, 52(3), 393–442.</w:t>
      </w:r>
    </w:p>
    <w:p w14:paraId="346937A2" w14:textId="77777777" w:rsidR="00C93607" w:rsidRDefault="00000000">
      <w:pPr>
        <w:spacing w:before="40" w:after="40" w:line="300" w:lineRule="auto"/>
        <w:ind w:left="360" w:hanging="360"/>
        <w:jc w:val="both"/>
      </w:pPr>
      <w:r>
        <w:rPr>
          <w:sz w:val="22"/>
          <w:szCs w:val="22"/>
        </w:rPr>
        <w:t>Efron, B. (1979). Bootstrap methods: Another look at the jackknife. Annals of Statistics, 7(1), 1–26.</w:t>
      </w:r>
    </w:p>
    <w:p w14:paraId="43881EFD" w14:textId="77777777" w:rsidR="00C93607" w:rsidRDefault="00000000">
      <w:pPr>
        <w:spacing w:before="40" w:after="40" w:line="300" w:lineRule="auto"/>
        <w:ind w:left="360" w:hanging="360"/>
        <w:jc w:val="both"/>
      </w:pPr>
      <w:r>
        <w:rPr>
          <w:sz w:val="22"/>
          <w:szCs w:val="22"/>
        </w:rPr>
        <w:t>Friedman, J.H. (2001). Greedy function approximation: A gradient boosting machine. Annals of Statistics, 29(5), 1189–1232.</w:t>
      </w:r>
    </w:p>
    <w:p w14:paraId="5819A148" w14:textId="77777777" w:rsidR="00C93607" w:rsidRDefault="00000000">
      <w:pPr>
        <w:spacing w:before="40" w:after="40" w:line="300" w:lineRule="auto"/>
        <w:ind w:left="360" w:hanging="360"/>
        <w:jc w:val="both"/>
      </w:pPr>
      <w:r>
        <w:rPr>
          <w:sz w:val="22"/>
          <w:szCs w:val="22"/>
        </w:rPr>
        <w:t>Gumbel, E.J. (1941). The return period of flood flows. Annals of Mathematical Statistics, 12(2), 163–190.</w:t>
      </w:r>
    </w:p>
    <w:p w14:paraId="6A4D2B09" w14:textId="77777777" w:rsidR="00C93607" w:rsidRDefault="00000000">
      <w:pPr>
        <w:spacing w:before="40" w:after="40" w:line="300" w:lineRule="auto"/>
        <w:ind w:left="360" w:hanging="360"/>
        <w:jc w:val="both"/>
      </w:pPr>
      <w:r>
        <w:rPr>
          <w:sz w:val="22"/>
          <w:szCs w:val="22"/>
        </w:rPr>
        <w:t>Gumbel, E.J. (1958). Statistics of extremes. Columbia University Press.</w:t>
      </w:r>
    </w:p>
    <w:p w14:paraId="2D78D6FB" w14:textId="77777777" w:rsidR="00C93607" w:rsidRDefault="00000000">
      <w:pPr>
        <w:spacing w:before="40" w:after="40" w:line="300" w:lineRule="auto"/>
        <w:ind w:left="360" w:hanging="360"/>
        <w:jc w:val="both"/>
      </w:pPr>
      <w:r>
        <w:rPr>
          <w:sz w:val="22"/>
          <w:szCs w:val="22"/>
        </w:rPr>
        <w:t>Hamed, K.H., &amp; Rao, A.R. (1998). A modified Mann-Kendall trend test for autocorrelated data. Journal of Hydrology, 204(1-4), 182–196.</w:t>
      </w:r>
    </w:p>
    <w:p w14:paraId="0FDC2571" w14:textId="77777777" w:rsidR="00C93607" w:rsidRDefault="00000000">
      <w:pPr>
        <w:spacing w:before="40" w:after="40" w:line="300" w:lineRule="auto"/>
        <w:ind w:left="360" w:hanging="360"/>
        <w:jc w:val="both"/>
      </w:pPr>
      <w:r>
        <w:rPr>
          <w:sz w:val="22"/>
          <w:szCs w:val="22"/>
        </w:rPr>
        <w:t>Hosking, J.R.M. (1990). L-moments: Analysis and estimation of distributions using linear combinations of order statistics. Journal of the Royal Statistical Society B, 52(1), 105–124.</w:t>
      </w:r>
    </w:p>
    <w:p w14:paraId="0B9513C1" w14:textId="77777777" w:rsidR="00C93607" w:rsidRDefault="00000000">
      <w:pPr>
        <w:spacing w:before="40" w:after="40" w:line="300" w:lineRule="auto"/>
        <w:ind w:left="360" w:hanging="360"/>
        <w:jc w:val="both"/>
      </w:pPr>
      <w:r>
        <w:rPr>
          <w:sz w:val="22"/>
          <w:szCs w:val="22"/>
        </w:rPr>
        <w:t>Hosking, J.R.M., &amp; Wallis, J.R. (1997). Regional frequency analysis: An approach based on L-moments. Cambridge University Press.</w:t>
      </w:r>
    </w:p>
    <w:p w14:paraId="71239353" w14:textId="77777777" w:rsidR="00C93607" w:rsidRDefault="00000000">
      <w:pPr>
        <w:spacing w:before="40" w:after="40" w:line="300" w:lineRule="auto"/>
        <w:ind w:left="360" w:hanging="360"/>
        <w:jc w:val="both"/>
      </w:pPr>
      <w:proofErr w:type="spellStart"/>
      <w:r>
        <w:rPr>
          <w:sz w:val="22"/>
          <w:szCs w:val="22"/>
        </w:rPr>
        <w:t>Hurvich</w:t>
      </w:r>
      <w:proofErr w:type="spellEnd"/>
      <w:r>
        <w:rPr>
          <w:sz w:val="22"/>
          <w:szCs w:val="22"/>
        </w:rPr>
        <w:t xml:space="preserve">, C.M., &amp; Tsai, C.L. (1989). Regression and time series model selection in small samples. </w:t>
      </w:r>
      <w:proofErr w:type="spellStart"/>
      <w:r>
        <w:rPr>
          <w:sz w:val="22"/>
          <w:szCs w:val="22"/>
        </w:rPr>
        <w:t>Biometrika</w:t>
      </w:r>
      <w:proofErr w:type="spellEnd"/>
      <w:r>
        <w:rPr>
          <w:sz w:val="22"/>
          <w:szCs w:val="22"/>
        </w:rPr>
        <w:t>, 76(2), 297–307.</w:t>
      </w:r>
    </w:p>
    <w:p w14:paraId="7CD7CA8A" w14:textId="77777777" w:rsidR="00C93607" w:rsidRDefault="00000000">
      <w:pPr>
        <w:spacing w:before="40" w:after="40" w:line="300" w:lineRule="auto"/>
        <w:ind w:left="360" w:hanging="360"/>
        <w:jc w:val="both"/>
      </w:pPr>
      <w:r>
        <w:rPr>
          <w:sz w:val="22"/>
          <w:szCs w:val="22"/>
        </w:rPr>
        <w:t>Hurst, H.E. (1951). Long-term storage capacity of reservoirs. Transactions of ASCE, 116, 770–808.</w:t>
      </w:r>
    </w:p>
    <w:p w14:paraId="7D8205D7" w14:textId="77777777" w:rsidR="00C93607" w:rsidRDefault="00000000">
      <w:pPr>
        <w:spacing w:before="40" w:after="40" w:line="300" w:lineRule="auto"/>
        <w:ind w:left="360" w:hanging="360"/>
        <w:jc w:val="both"/>
      </w:pPr>
      <w:r>
        <w:rPr>
          <w:sz w:val="22"/>
          <w:szCs w:val="22"/>
        </w:rPr>
        <w:t>Jarque, C.M., &amp; Bera, A.K. (1980). Efficient tests for normality. Economics Letters, 6(3), 255–259.</w:t>
      </w:r>
    </w:p>
    <w:p w14:paraId="00271719" w14:textId="77777777" w:rsidR="00C93607" w:rsidRDefault="00000000">
      <w:pPr>
        <w:spacing w:before="40" w:after="40" w:line="300" w:lineRule="auto"/>
        <w:ind w:left="360" w:hanging="360"/>
        <w:jc w:val="both"/>
      </w:pPr>
      <w:r>
        <w:rPr>
          <w:sz w:val="22"/>
          <w:szCs w:val="22"/>
        </w:rPr>
        <w:t>Kendall, M.G. (1975). Rank correlation methods (4th ed.). Griffin.</w:t>
      </w:r>
    </w:p>
    <w:p w14:paraId="76ADD5A6" w14:textId="77777777" w:rsidR="00C93607" w:rsidRDefault="00000000">
      <w:pPr>
        <w:spacing w:before="40" w:after="40" w:line="300" w:lineRule="auto"/>
        <w:ind w:left="360" w:hanging="360"/>
        <w:jc w:val="both"/>
      </w:pPr>
      <w:r>
        <w:rPr>
          <w:sz w:val="22"/>
          <w:szCs w:val="22"/>
        </w:rPr>
        <w:t>Kite, G.W. (1977). Frequency and risk analyses in hydrology. Water Resources Publications.</w:t>
      </w:r>
    </w:p>
    <w:p w14:paraId="05EA2AA9" w14:textId="77777777" w:rsidR="00C93607" w:rsidRDefault="00000000">
      <w:pPr>
        <w:spacing w:before="40" w:after="40" w:line="300" w:lineRule="auto"/>
        <w:ind w:left="360" w:hanging="360"/>
        <w:jc w:val="both"/>
      </w:pPr>
      <w:proofErr w:type="spellStart"/>
      <w:r>
        <w:rPr>
          <w:sz w:val="22"/>
          <w:szCs w:val="22"/>
        </w:rPr>
        <w:t>Koutsoyiannis</w:t>
      </w:r>
      <w:proofErr w:type="spellEnd"/>
      <w:r>
        <w:rPr>
          <w:sz w:val="22"/>
          <w:szCs w:val="22"/>
        </w:rPr>
        <w:t>, D. (2003). Climate change, the Hurst phenomenon, and hydrological statistics. Hydrological Sciences Journal, 48(1), 3–24.</w:t>
      </w:r>
    </w:p>
    <w:p w14:paraId="03733FBC" w14:textId="77777777" w:rsidR="00C93607" w:rsidRDefault="00000000">
      <w:pPr>
        <w:spacing w:before="40" w:after="40" w:line="300" w:lineRule="auto"/>
        <w:ind w:left="360" w:hanging="360"/>
        <w:jc w:val="both"/>
      </w:pPr>
      <w:r>
        <w:rPr>
          <w:sz w:val="22"/>
          <w:szCs w:val="22"/>
        </w:rPr>
        <w:t>Kumar, K.K., Rajagopalan, B., &amp; Cane, M.A. (2006). On the weakening relationship between the Indian monsoon and ENSO. Science, 284, 2156–2159.</w:t>
      </w:r>
    </w:p>
    <w:p w14:paraId="7760B475" w14:textId="77777777" w:rsidR="00C93607" w:rsidRDefault="00000000">
      <w:pPr>
        <w:spacing w:before="40" w:after="40" w:line="300" w:lineRule="auto"/>
        <w:ind w:left="360" w:hanging="360"/>
        <w:jc w:val="both"/>
      </w:pPr>
      <w:r>
        <w:rPr>
          <w:sz w:val="22"/>
          <w:szCs w:val="22"/>
        </w:rPr>
        <w:t>Kwiatkowski, D., Phillips, P.C.B., Schmidt, P., &amp; Shin, Y. (1992). Testing the null hypothesis of stationarity. Journal of Econometrics, 54, 159–178.</w:t>
      </w:r>
    </w:p>
    <w:p w14:paraId="53F7F04D" w14:textId="77777777" w:rsidR="00C93607" w:rsidRDefault="00000000">
      <w:pPr>
        <w:spacing w:before="40" w:after="40" w:line="300" w:lineRule="auto"/>
        <w:ind w:left="360" w:hanging="360"/>
        <w:jc w:val="both"/>
      </w:pPr>
      <w:r>
        <w:rPr>
          <w:sz w:val="22"/>
          <w:szCs w:val="22"/>
        </w:rPr>
        <w:t xml:space="preserve">Leadbetter, M.R., Lindgren, G., &amp; </w:t>
      </w:r>
      <w:proofErr w:type="spellStart"/>
      <w:r>
        <w:rPr>
          <w:sz w:val="22"/>
          <w:szCs w:val="22"/>
        </w:rPr>
        <w:t>Rootzen</w:t>
      </w:r>
      <w:proofErr w:type="spellEnd"/>
      <w:r>
        <w:rPr>
          <w:sz w:val="22"/>
          <w:szCs w:val="22"/>
        </w:rPr>
        <w:t>, H. (1983). Extremes and related properties of random sequences and processes. Springer.</w:t>
      </w:r>
    </w:p>
    <w:p w14:paraId="69CAA74A" w14:textId="77777777" w:rsidR="00C93607" w:rsidRDefault="00000000">
      <w:pPr>
        <w:spacing w:before="40" w:after="40" w:line="300" w:lineRule="auto"/>
        <w:ind w:left="360" w:hanging="360"/>
        <w:jc w:val="both"/>
      </w:pPr>
      <w:r>
        <w:rPr>
          <w:sz w:val="22"/>
          <w:szCs w:val="22"/>
        </w:rPr>
        <w:t xml:space="preserve">Ljung, G.M., &amp; Box, G.E.P. (1978). On a measure of lack of fit in time series models. </w:t>
      </w:r>
      <w:proofErr w:type="spellStart"/>
      <w:r>
        <w:rPr>
          <w:sz w:val="22"/>
          <w:szCs w:val="22"/>
        </w:rPr>
        <w:t>Biometrika</w:t>
      </w:r>
      <w:proofErr w:type="spellEnd"/>
      <w:r>
        <w:rPr>
          <w:sz w:val="22"/>
          <w:szCs w:val="22"/>
        </w:rPr>
        <w:t>, 65(2), 297–303.</w:t>
      </w:r>
    </w:p>
    <w:p w14:paraId="1E80C29D" w14:textId="77777777" w:rsidR="00C93607" w:rsidRDefault="00000000">
      <w:pPr>
        <w:spacing w:before="40" w:after="40" w:line="300" w:lineRule="auto"/>
        <w:ind w:left="360" w:hanging="360"/>
        <w:jc w:val="both"/>
      </w:pPr>
      <w:r>
        <w:rPr>
          <w:sz w:val="22"/>
          <w:szCs w:val="22"/>
        </w:rPr>
        <w:t>Maier, H.R., &amp; Dandy, G.C. (2000). Neural networks for the prediction of water resources variables. Environmental Modelling &amp; Software, 15, 101–124.</w:t>
      </w:r>
    </w:p>
    <w:p w14:paraId="4CB6B6C2" w14:textId="77777777" w:rsidR="00C93607" w:rsidRDefault="00000000">
      <w:pPr>
        <w:spacing w:before="40" w:after="40" w:line="300" w:lineRule="auto"/>
        <w:ind w:left="360" w:hanging="360"/>
        <w:jc w:val="both"/>
      </w:pPr>
      <w:r>
        <w:rPr>
          <w:sz w:val="22"/>
          <w:szCs w:val="22"/>
        </w:rPr>
        <w:t xml:space="preserve">Mann, H.B. (1945). Nonparametric tests against trend. </w:t>
      </w:r>
      <w:proofErr w:type="spellStart"/>
      <w:r>
        <w:rPr>
          <w:sz w:val="22"/>
          <w:szCs w:val="22"/>
        </w:rPr>
        <w:t>Econometrica</w:t>
      </w:r>
      <w:proofErr w:type="spellEnd"/>
      <w:r>
        <w:rPr>
          <w:sz w:val="22"/>
          <w:szCs w:val="22"/>
        </w:rPr>
        <w:t>, 13(3), 245–259.</w:t>
      </w:r>
    </w:p>
    <w:p w14:paraId="188E1362" w14:textId="77777777" w:rsidR="00C93607" w:rsidRDefault="00000000">
      <w:pPr>
        <w:spacing w:before="40" w:after="40" w:line="300" w:lineRule="auto"/>
        <w:ind w:left="360" w:hanging="360"/>
        <w:jc w:val="both"/>
      </w:pPr>
      <w:r>
        <w:rPr>
          <w:sz w:val="22"/>
          <w:szCs w:val="22"/>
        </w:rPr>
        <w:t>Metropolis, N., Rosenbluth, A.W., Rosenbluth, M.N., Teller, A.H., &amp; Teller, E. (1953). Equation of state calculations by fast computing machines. Journal of Chemical Physics, 21(6), 1087–1092.</w:t>
      </w:r>
    </w:p>
    <w:p w14:paraId="1D8A6774" w14:textId="77777777" w:rsidR="00C93607" w:rsidRDefault="00000000">
      <w:pPr>
        <w:spacing w:before="40" w:after="40" w:line="300" w:lineRule="auto"/>
        <w:ind w:left="360" w:hanging="360"/>
        <w:jc w:val="both"/>
      </w:pPr>
      <w:r>
        <w:rPr>
          <w:sz w:val="22"/>
          <w:szCs w:val="22"/>
        </w:rPr>
        <w:t xml:space="preserve">Milly, P.C.D., Betancourt, J., </w:t>
      </w:r>
      <w:proofErr w:type="spellStart"/>
      <w:r>
        <w:rPr>
          <w:sz w:val="22"/>
          <w:szCs w:val="22"/>
        </w:rPr>
        <w:t>Falkenmark</w:t>
      </w:r>
      <w:proofErr w:type="spellEnd"/>
      <w:r>
        <w:rPr>
          <w:sz w:val="22"/>
          <w:szCs w:val="22"/>
        </w:rPr>
        <w:t xml:space="preserve">, M., Hirsch, R.M., </w:t>
      </w:r>
      <w:proofErr w:type="spellStart"/>
      <w:r>
        <w:rPr>
          <w:sz w:val="22"/>
          <w:szCs w:val="22"/>
        </w:rPr>
        <w:t>Kundzewicz</w:t>
      </w:r>
      <w:proofErr w:type="spellEnd"/>
      <w:r>
        <w:rPr>
          <w:sz w:val="22"/>
          <w:szCs w:val="22"/>
        </w:rPr>
        <w:t>, Z.W., Lettenmaier, D.P., &amp; Stouffer, R.J. (2008). Stationarity is dead: Whither water management? Science, 319, 573–574.</w:t>
      </w:r>
    </w:p>
    <w:p w14:paraId="61AF803D" w14:textId="77777777" w:rsidR="00C93607" w:rsidRDefault="00000000">
      <w:pPr>
        <w:spacing w:before="40" w:after="40" w:line="300" w:lineRule="auto"/>
        <w:ind w:left="360" w:hanging="360"/>
        <w:jc w:val="both"/>
      </w:pPr>
      <w:r>
        <w:rPr>
          <w:sz w:val="22"/>
          <w:szCs w:val="22"/>
        </w:rPr>
        <w:t>National Disaster Management Authority (NDMA). (2018). National disaster management plan 2018. Government of India.</w:t>
      </w:r>
    </w:p>
    <w:p w14:paraId="24D79FB8" w14:textId="77777777" w:rsidR="00C93607" w:rsidRDefault="00000000">
      <w:pPr>
        <w:spacing w:before="40" w:after="40" w:line="300" w:lineRule="auto"/>
        <w:ind w:left="360" w:hanging="360"/>
        <w:jc w:val="both"/>
      </w:pPr>
      <w:r>
        <w:rPr>
          <w:sz w:val="22"/>
          <w:szCs w:val="22"/>
        </w:rPr>
        <w:t>Parent, E., &amp; Bernier, J. (2003). Bayesian POT modeling for historical data. Journal of Hydrology, 274(1-4), 95–108.</w:t>
      </w:r>
    </w:p>
    <w:p w14:paraId="7F171D79" w14:textId="77777777" w:rsidR="00C93607" w:rsidRDefault="00000000">
      <w:pPr>
        <w:spacing w:before="40" w:after="40" w:line="300" w:lineRule="auto"/>
        <w:ind w:left="360" w:hanging="360"/>
        <w:jc w:val="both"/>
      </w:pPr>
      <w:r>
        <w:rPr>
          <w:sz w:val="22"/>
          <w:szCs w:val="22"/>
        </w:rPr>
        <w:t>Pedregosa, F., et al. (2011). Scikit-learn: Machine learning in Python. Journal of Machine Learning Research, 12, 2825–2830.</w:t>
      </w:r>
    </w:p>
    <w:p w14:paraId="34D29DAC" w14:textId="77777777" w:rsidR="00C93607" w:rsidRDefault="00000000">
      <w:pPr>
        <w:spacing w:before="40" w:after="40" w:line="300" w:lineRule="auto"/>
        <w:ind w:left="360" w:hanging="360"/>
        <w:jc w:val="both"/>
      </w:pPr>
      <w:r>
        <w:rPr>
          <w:sz w:val="22"/>
          <w:szCs w:val="22"/>
        </w:rPr>
        <w:t>Pettitt, A.N. (1979). A non-parametric approach to the change-point problem. Applied Statistics, 28(2), 126–135.</w:t>
      </w:r>
    </w:p>
    <w:p w14:paraId="0EF7ACEC" w14:textId="77777777" w:rsidR="00C93607" w:rsidRDefault="00000000">
      <w:pPr>
        <w:spacing w:before="40" w:after="40" w:line="300" w:lineRule="auto"/>
        <w:ind w:left="360" w:hanging="360"/>
        <w:jc w:val="both"/>
      </w:pPr>
      <w:proofErr w:type="spellStart"/>
      <w:r>
        <w:rPr>
          <w:sz w:val="22"/>
          <w:szCs w:val="22"/>
        </w:rPr>
        <w:t>Pickands</w:t>
      </w:r>
      <w:proofErr w:type="spellEnd"/>
      <w:r>
        <w:rPr>
          <w:sz w:val="22"/>
          <w:szCs w:val="22"/>
        </w:rPr>
        <w:t>, J. (1975). Statistical inference using extreme order statistics. Annals of Statistics, 3(1), 119–131.</w:t>
      </w:r>
    </w:p>
    <w:p w14:paraId="4EB1A09E" w14:textId="77777777" w:rsidR="00C93607" w:rsidRDefault="00000000">
      <w:pPr>
        <w:spacing w:before="40" w:after="40" w:line="300" w:lineRule="auto"/>
        <w:ind w:left="360" w:hanging="360"/>
        <w:jc w:val="both"/>
      </w:pPr>
      <w:r>
        <w:rPr>
          <w:sz w:val="22"/>
          <w:szCs w:val="22"/>
        </w:rPr>
        <w:t>Rao, A.R., &amp; Hamed, K.H. (2000). Flood frequency analysis. CRC Press.</w:t>
      </w:r>
    </w:p>
    <w:p w14:paraId="0F6BA0CC" w14:textId="77777777" w:rsidR="00C93607" w:rsidRDefault="00000000">
      <w:pPr>
        <w:spacing w:before="40" w:after="40" w:line="300" w:lineRule="auto"/>
        <w:ind w:left="360" w:hanging="360"/>
        <w:jc w:val="both"/>
      </w:pPr>
      <w:r>
        <w:rPr>
          <w:sz w:val="22"/>
          <w:szCs w:val="22"/>
        </w:rPr>
        <w:t>Rasmussen, C.E., &amp; Williams, C.K.I. (2006). Gaussian processes for machine learning. MIT Press.</w:t>
      </w:r>
    </w:p>
    <w:p w14:paraId="2F046BF5" w14:textId="77777777" w:rsidR="00C93607" w:rsidRDefault="00000000">
      <w:pPr>
        <w:spacing w:before="40" w:after="40" w:line="300" w:lineRule="auto"/>
        <w:ind w:left="360" w:hanging="360"/>
        <w:jc w:val="both"/>
      </w:pPr>
      <w:r>
        <w:rPr>
          <w:sz w:val="22"/>
          <w:szCs w:val="22"/>
        </w:rPr>
        <w:t xml:space="preserve">Reis, D.S., &amp; </w:t>
      </w:r>
      <w:proofErr w:type="spellStart"/>
      <w:r>
        <w:rPr>
          <w:sz w:val="22"/>
          <w:szCs w:val="22"/>
        </w:rPr>
        <w:t>Stedinger</w:t>
      </w:r>
      <w:proofErr w:type="spellEnd"/>
      <w:r>
        <w:rPr>
          <w:sz w:val="22"/>
          <w:szCs w:val="22"/>
        </w:rPr>
        <w:t>, J.R. (2005). Bayesian MCMC flood frequency analysis with historical information. Journal of Hydrology, 313(1-2), 97–116.</w:t>
      </w:r>
    </w:p>
    <w:p w14:paraId="57AE522C" w14:textId="77777777" w:rsidR="00C93607" w:rsidRDefault="00000000">
      <w:pPr>
        <w:spacing w:before="40" w:after="40" w:line="300" w:lineRule="auto"/>
        <w:ind w:left="360" w:hanging="360"/>
        <w:jc w:val="both"/>
      </w:pPr>
      <w:r>
        <w:rPr>
          <w:sz w:val="22"/>
          <w:szCs w:val="22"/>
        </w:rPr>
        <w:t>Rubinstein, R.Y. (1981). Simulation and the Monte Carlo method. Wiley.</w:t>
      </w:r>
    </w:p>
    <w:p w14:paraId="5593365A" w14:textId="77777777" w:rsidR="00C93607" w:rsidRDefault="00000000">
      <w:pPr>
        <w:spacing w:before="40" w:after="40" w:line="300" w:lineRule="auto"/>
        <w:ind w:left="360" w:hanging="360"/>
        <w:jc w:val="both"/>
      </w:pPr>
      <w:r>
        <w:rPr>
          <w:sz w:val="22"/>
          <w:szCs w:val="22"/>
        </w:rPr>
        <w:t xml:space="preserve">Said, S.E., &amp; Dickey, D.A. (1984). Testing for unit roots in autoregressive-moving average models. </w:t>
      </w:r>
      <w:proofErr w:type="spellStart"/>
      <w:r>
        <w:rPr>
          <w:sz w:val="22"/>
          <w:szCs w:val="22"/>
        </w:rPr>
        <w:t>Biometrika</w:t>
      </w:r>
      <w:proofErr w:type="spellEnd"/>
      <w:r>
        <w:rPr>
          <w:sz w:val="22"/>
          <w:szCs w:val="22"/>
        </w:rPr>
        <w:t>, 71(3), 599–607.</w:t>
      </w:r>
    </w:p>
    <w:p w14:paraId="0B9908C5" w14:textId="77777777" w:rsidR="00C93607" w:rsidRDefault="00000000">
      <w:pPr>
        <w:spacing w:before="40" w:after="40" w:line="300" w:lineRule="auto"/>
        <w:ind w:left="360" w:hanging="360"/>
        <w:jc w:val="both"/>
      </w:pPr>
      <w:r>
        <w:rPr>
          <w:sz w:val="22"/>
          <w:szCs w:val="22"/>
        </w:rPr>
        <w:t>Schwarz, G. (1978). Estimating the dimension of a model. Annals of Statistics, 6(2), 461–464.</w:t>
      </w:r>
    </w:p>
    <w:p w14:paraId="08F21A87" w14:textId="77777777" w:rsidR="00C93607" w:rsidRDefault="00000000">
      <w:pPr>
        <w:spacing w:before="40" w:after="40" w:line="300" w:lineRule="auto"/>
        <w:ind w:left="360" w:hanging="360"/>
        <w:jc w:val="both"/>
      </w:pPr>
      <w:r>
        <w:rPr>
          <w:sz w:val="22"/>
          <w:szCs w:val="22"/>
        </w:rPr>
        <w:t>Sen, P.K. (1968). Estimates of the regression coefficient based on Kendall's tau. Journal of the American Statistical Association, 63(324), 1379–1389.</w:t>
      </w:r>
    </w:p>
    <w:p w14:paraId="4AF05FEB" w14:textId="77777777" w:rsidR="00C93607" w:rsidRDefault="00000000">
      <w:pPr>
        <w:spacing w:before="40" w:after="40" w:line="300" w:lineRule="auto"/>
        <w:ind w:left="360" w:hanging="360"/>
        <w:jc w:val="both"/>
      </w:pPr>
      <w:r>
        <w:rPr>
          <w:sz w:val="22"/>
          <w:szCs w:val="22"/>
        </w:rPr>
        <w:t>Seo, Y., Kim, S., &amp; Singh, V.P. (2020). Assessment of temporal hydrological trends using statistical goodness of fit criteria. International Journal of Climatology, 40(5), 2781–2799.</w:t>
      </w:r>
    </w:p>
    <w:p w14:paraId="029CA107" w14:textId="77777777" w:rsidR="00C93607" w:rsidRDefault="00000000">
      <w:pPr>
        <w:spacing w:before="40" w:after="40" w:line="300" w:lineRule="auto"/>
        <w:ind w:left="360" w:hanging="360"/>
        <w:jc w:val="both"/>
      </w:pPr>
      <w:r>
        <w:rPr>
          <w:sz w:val="22"/>
          <w:szCs w:val="22"/>
        </w:rPr>
        <w:t xml:space="preserve">Shapiro, S.S., &amp; Wilk, M.B. (1965). An analysis of variance test for normality. </w:t>
      </w:r>
      <w:proofErr w:type="spellStart"/>
      <w:r>
        <w:rPr>
          <w:sz w:val="22"/>
          <w:szCs w:val="22"/>
        </w:rPr>
        <w:t>Biometrika</w:t>
      </w:r>
      <w:proofErr w:type="spellEnd"/>
      <w:r>
        <w:rPr>
          <w:sz w:val="22"/>
          <w:szCs w:val="22"/>
        </w:rPr>
        <w:t>, 52(3-4), 591–611.</w:t>
      </w:r>
    </w:p>
    <w:p w14:paraId="4DDA372C" w14:textId="77777777" w:rsidR="00C93607" w:rsidRDefault="00000000">
      <w:pPr>
        <w:spacing w:before="40" w:after="40" w:line="300" w:lineRule="auto"/>
        <w:ind w:left="360" w:hanging="360"/>
        <w:jc w:val="both"/>
      </w:pPr>
      <w:r>
        <w:rPr>
          <w:sz w:val="22"/>
          <w:szCs w:val="22"/>
        </w:rPr>
        <w:t>Stedinger, J.R., Vogel, R.M., &amp; Foufoula-Georgiou, E. (1993). Frequency analysis of extreme events. In Maidment, D.R. (Ed.), Handbook of hydrology (Chapter 18). McGraw-Hill.</w:t>
      </w:r>
    </w:p>
    <w:p w14:paraId="47838494" w14:textId="77777777" w:rsidR="00C93607" w:rsidRDefault="00000000">
      <w:pPr>
        <w:spacing w:before="40" w:after="40" w:line="300" w:lineRule="auto"/>
        <w:ind w:left="360" w:hanging="360"/>
        <w:jc w:val="both"/>
      </w:pPr>
      <w:r>
        <w:rPr>
          <w:sz w:val="22"/>
          <w:szCs w:val="22"/>
        </w:rPr>
        <w:t>USWRC. (1982). Guidelines for determining flood flow frequency: Bulletin 17B. U.S. Water Resources Council.</w:t>
      </w:r>
    </w:p>
    <w:p w14:paraId="1B81FA55" w14:textId="77777777" w:rsidR="00C93607" w:rsidRDefault="00000000">
      <w:pPr>
        <w:spacing w:before="40" w:after="40" w:line="300" w:lineRule="auto"/>
        <w:ind w:left="360" w:hanging="360"/>
        <w:jc w:val="both"/>
      </w:pPr>
      <w:r>
        <w:rPr>
          <w:sz w:val="22"/>
          <w:szCs w:val="22"/>
        </w:rPr>
        <w:t>USWRC. (2019). Guidelines for determining flood flow frequency: Bulletin 17C. USGS Techniques and Methods 4-B5.</w:t>
      </w:r>
    </w:p>
    <w:p w14:paraId="646D5D2D" w14:textId="77777777" w:rsidR="00C93607" w:rsidRDefault="00000000">
      <w:pPr>
        <w:spacing w:before="40" w:after="40" w:line="300" w:lineRule="auto"/>
        <w:ind w:left="360" w:hanging="360"/>
        <w:jc w:val="both"/>
      </w:pPr>
      <w:proofErr w:type="spellStart"/>
      <w:r>
        <w:rPr>
          <w:sz w:val="22"/>
          <w:szCs w:val="22"/>
        </w:rPr>
        <w:t>Vapnik</w:t>
      </w:r>
      <w:proofErr w:type="spellEnd"/>
      <w:r>
        <w:rPr>
          <w:sz w:val="22"/>
          <w:szCs w:val="22"/>
        </w:rPr>
        <w:t>, V.N. (1995). The nature of statistical learning theory. Springer.</w:t>
      </w:r>
    </w:p>
    <w:p w14:paraId="529C806E" w14:textId="77777777" w:rsidR="00C93607" w:rsidRDefault="00000000">
      <w:pPr>
        <w:spacing w:before="40" w:after="40" w:line="300" w:lineRule="auto"/>
        <w:ind w:left="360" w:hanging="360"/>
        <w:jc w:val="both"/>
      </w:pPr>
      <w:r>
        <w:rPr>
          <w:sz w:val="22"/>
          <w:szCs w:val="22"/>
        </w:rPr>
        <w:t>Wald, A., &amp; Wolfowitz, J. (1940). On a test whether two samples are from the same population. Annals of Mathematical Statistics, 11(2), 147–162.</w:t>
      </w:r>
    </w:p>
    <w:p w14:paraId="58F7EA2E" w14:textId="77777777" w:rsidR="00C93607" w:rsidRDefault="00000000">
      <w:pPr>
        <w:spacing w:before="40" w:after="40" w:line="300" w:lineRule="auto"/>
        <w:ind w:left="360" w:hanging="360"/>
        <w:jc w:val="both"/>
      </w:pPr>
      <w:r>
        <w:rPr>
          <w:sz w:val="22"/>
          <w:szCs w:val="22"/>
        </w:rPr>
        <w:t>Wilson, E.B., &amp; Hilferty, M.M. (1931). The distribution of chi-square. Proceedings of the National Academy of Sciences, 17(12), 684–688.</w:t>
      </w:r>
    </w:p>
    <w:p w14:paraId="39DFC7F8" w14:textId="77777777" w:rsidR="00C93607" w:rsidRDefault="00000000">
      <w:pPr>
        <w:spacing w:before="40" w:after="40" w:line="300" w:lineRule="auto"/>
        <w:ind w:left="360" w:hanging="360"/>
        <w:jc w:val="both"/>
      </w:pPr>
      <w:r>
        <w:rPr>
          <w:sz w:val="22"/>
          <w:szCs w:val="22"/>
        </w:rPr>
        <w:t>WMO. (2009). Manual on estimation of probable maximum precipitation. WMO-No. 1045. World Meteorological Organization.</w:t>
      </w:r>
    </w:p>
    <w:p w14:paraId="59074617" w14:textId="77777777" w:rsidR="00C93607" w:rsidRDefault="00000000">
      <w:pPr>
        <w:spacing w:before="40" w:after="40" w:line="300" w:lineRule="auto"/>
        <w:ind w:left="360" w:hanging="360"/>
        <w:jc w:val="both"/>
      </w:pPr>
      <w:r>
        <w:rPr>
          <w:sz w:val="22"/>
          <w:szCs w:val="22"/>
        </w:rPr>
        <w:t>Zhang, L., &amp; Singh, V.P. (2006). Bivariate flood frequency analysis using the copula method. Journal of Hydrologic Engineering, 11(2), 150–164.</w:t>
      </w:r>
    </w:p>
    <w:sectPr w:rsidR="00C93607">
      <w:headerReference w:type="default" r:id="rId22"/>
      <w:footerReference w:type="default" r:id="rId23"/>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3CEF" w14:textId="77777777" w:rsidR="00A83E4C" w:rsidRDefault="00A83E4C">
      <w:r>
        <w:separator/>
      </w:r>
    </w:p>
  </w:endnote>
  <w:endnote w:type="continuationSeparator" w:id="0">
    <w:p w14:paraId="7037CC16" w14:textId="77777777" w:rsidR="00A83E4C" w:rsidRDefault="00A83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E7D8" w14:textId="77777777" w:rsidR="00C93607" w:rsidRDefault="00000000">
    <w:pPr>
      <w:pBdr>
        <w:top w:val="single" w:sz="4" w:space="4" w:color="1B3A6B"/>
      </w:pBdr>
      <w:jc w:val="center"/>
    </w:pPr>
    <w:r>
      <w:rPr>
        <w:rFonts w:ascii="Arial" w:eastAsia="Arial" w:hAnsi="Arial" w:cs="Arial"/>
        <w:color w:val="666666"/>
        <w:sz w:val="18"/>
        <w:szCs w:val="18"/>
      </w:rPr>
      <w:t xml:space="preserve">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2E6DBF">
      <w:rPr>
        <w:rFonts w:ascii="Arial" w:eastAsia="Arial" w:hAnsi="Arial" w:cs="Arial"/>
        <w:noProof/>
        <w:color w:val="666666"/>
        <w:sz w:val="18"/>
        <w:szCs w:val="18"/>
      </w:rPr>
      <w:t>1</w:t>
    </w:r>
    <w:r>
      <w:rPr>
        <w:rFonts w:ascii="Arial" w:eastAsia="Arial" w:hAnsi="Arial" w:cs="Arial"/>
        <w:color w:val="666666"/>
        <w:sz w:val="18"/>
        <w:szCs w:val="18"/>
      </w:rPr>
      <w:fldChar w:fldCharType="end"/>
    </w:r>
    <w:r>
      <w:rPr>
        <w:rFonts w:ascii="Arial" w:eastAsia="Arial" w:hAnsi="Arial" w:cs="Arial"/>
        <w:color w:val="666666"/>
        <w:sz w:val="18"/>
        <w:szCs w:val="18"/>
      </w:rPr>
      <w:t xml:space="preserve"> of </w:t>
    </w:r>
    <w:r>
      <w:rPr>
        <w:rFonts w:ascii="Arial" w:eastAsia="Arial" w:hAnsi="Arial" w:cs="Arial"/>
        <w:color w:val="666666"/>
        <w:sz w:val="18"/>
        <w:szCs w:val="18"/>
      </w:rPr>
      <w:fldChar w:fldCharType="begin"/>
    </w:r>
    <w:r>
      <w:rPr>
        <w:rFonts w:ascii="Arial" w:eastAsia="Arial" w:hAnsi="Arial" w:cs="Arial"/>
        <w:color w:val="666666"/>
        <w:sz w:val="18"/>
        <w:szCs w:val="18"/>
      </w:rPr>
      <w:instrText>NUMPAGES</w:instrText>
    </w:r>
    <w:r>
      <w:rPr>
        <w:rFonts w:ascii="Arial" w:eastAsia="Arial" w:hAnsi="Arial" w:cs="Arial"/>
        <w:color w:val="666666"/>
        <w:sz w:val="18"/>
        <w:szCs w:val="18"/>
      </w:rPr>
      <w:fldChar w:fldCharType="separate"/>
    </w:r>
    <w:r w:rsidR="002E6DBF">
      <w:rPr>
        <w:rFonts w:ascii="Arial" w:eastAsia="Arial" w:hAnsi="Arial" w:cs="Arial"/>
        <w:noProof/>
        <w:color w:val="666666"/>
        <w:sz w:val="18"/>
        <w:szCs w:val="18"/>
      </w:rPr>
      <w:t>2</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A8BD3" w14:textId="77777777" w:rsidR="00A83E4C" w:rsidRDefault="00A83E4C">
      <w:r>
        <w:separator/>
      </w:r>
    </w:p>
  </w:footnote>
  <w:footnote w:type="continuationSeparator" w:id="0">
    <w:p w14:paraId="390799E6" w14:textId="77777777" w:rsidR="00A83E4C" w:rsidRDefault="00A83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EB80" w14:textId="77777777" w:rsidR="00C93607" w:rsidRDefault="00000000">
    <w:pPr>
      <w:pBdr>
        <w:bottom w:val="single" w:sz="4" w:space="4" w:color="1B3A6B"/>
      </w:pBdr>
    </w:pPr>
    <w:r>
      <w:rPr>
        <w:rFonts w:ascii="Arial" w:eastAsia="Arial" w:hAnsi="Arial" w:cs="Arial"/>
        <w:color w:val="1B3A6B"/>
        <w:sz w:val="18"/>
        <w:szCs w:val="18"/>
      </w:rPr>
      <w:t>Advanced FFA — Krishna River at Karad | AK000X6 | CWC IS 11223:1985 | N = 57 years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40544"/>
    <w:multiLevelType w:val="hybridMultilevel"/>
    <w:tmpl w:val="441C537C"/>
    <w:lvl w:ilvl="0" w:tplc="576C4B30">
      <w:start w:val="1"/>
      <w:numFmt w:val="bullet"/>
      <w:lvlText w:val="●"/>
      <w:lvlJc w:val="left"/>
      <w:pPr>
        <w:ind w:left="720" w:hanging="360"/>
      </w:pPr>
    </w:lvl>
    <w:lvl w:ilvl="1" w:tplc="DE4820D4">
      <w:start w:val="1"/>
      <w:numFmt w:val="bullet"/>
      <w:lvlText w:val="○"/>
      <w:lvlJc w:val="left"/>
      <w:pPr>
        <w:ind w:left="1440" w:hanging="360"/>
      </w:pPr>
    </w:lvl>
    <w:lvl w:ilvl="2" w:tplc="C1C666D2">
      <w:start w:val="1"/>
      <w:numFmt w:val="bullet"/>
      <w:lvlText w:val="■"/>
      <w:lvlJc w:val="left"/>
      <w:pPr>
        <w:ind w:left="2160" w:hanging="360"/>
      </w:pPr>
    </w:lvl>
    <w:lvl w:ilvl="3" w:tplc="205E0A40">
      <w:start w:val="1"/>
      <w:numFmt w:val="bullet"/>
      <w:lvlText w:val="●"/>
      <w:lvlJc w:val="left"/>
      <w:pPr>
        <w:ind w:left="2880" w:hanging="360"/>
      </w:pPr>
    </w:lvl>
    <w:lvl w:ilvl="4" w:tplc="8C307E62">
      <w:start w:val="1"/>
      <w:numFmt w:val="bullet"/>
      <w:lvlText w:val="○"/>
      <w:lvlJc w:val="left"/>
      <w:pPr>
        <w:ind w:left="3600" w:hanging="360"/>
      </w:pPr>
    </w:lvl>
    <w:lvl w:ilvl="5" w:tplc="165E684C">
      <w:start w:val="1"/>
      <w:numFmt w:val="bullet"/>
      <w:lvlText w:val="■"/>
      <w:lvlJc w:val="left"/>
      <w:pPr>
        <w:ind w:left="4320" w:hanging="360"/>
      </w:pPr>
    </w:lvl>
    <w:lvl w:ilvl="6" w:tplc="82266196">
      <w:start w:val="1"/>
      <w:numFmt w:val="bullet"/>
      <w:lvlText w:val="●"/>
      <w:lvlJc w:val="left"/>
      <w:pPr>
        <w:ind w:left="5040" w:hanging="360"/>
      </w:pPr>
    </w:lvl>
    <w:lvl w:ilvl="7" w:tplc="41CEFF14">
      <w:start w:val="1"/>
      <w:numFmt w:val="bullet"/>
      <w:lvlText w:val="●"/>
      <w:lvlJc w:val="left"/>
      <w:pPr>
        <w:ind w:left="5760" w:hanging="360"/>
      </w:pPr>
    </w:lvl>
    <w:lvl w:ilvl="8" w:tplc="41C69CDC">
      <w:start w:val="1"/>
      <w:numFmt w:val="bullet"/>
      <w:lvlText w:val="●"/>
      <w:lvlJc w:val="left"/>
      <w:pPr>
        <w:ind w:left="6480" w:hanging="360"/>
      </w:pPr>
    </w:lvl>
  </w:abstractNum>
  <w:abstractNum w:abstractNumId="1" w15:restartNumberingAfterBreak="0">
    <w:nsid w:val="7DA037FB"/>
    <w:multiLevelType w:val="hybridMultilevel"/>
    <w:tmpl w:val="8B20E15E"/>
    <w:lvl w:ilvl="0" w:tplc="6E6C8D30">
      <w:start w:val="1"/>
      <w:numFmt w:val="bullet"/>
      <w:lvlText w:val="•"/>
      <w:lvlJc w:val="left"/>
      <w:pPr>
        <w:ind w:left="540" w:hanging="360"/>
      </w:pPr>
    </w:lvl>
    <w:lvl w:ilvl="1" w:tplc="E1ECA29A">
      <w:numFmt w:val="decimal"/>
      <w:lvlText w:val=""/>
      <w:lvlJc w:val="left"/>
    </w:lvl>
    <w:lvl w:ilvl="2" w:tplc="741CC944">
      <w:numFmt w:val="decimal"/>
      <w:lvlText w:val=""/>
      <w:lvlJc w:val="left"/>
    </w:lvl>
    <w:lvl w:ilvl="3" w:tplc="B7CEFDD8">
      <w:numFmt w:val="decimal"/>
      <w:lvlText w:val=""/>
      <w:lvlJc w:val="left"/>
    </w:lvl>
    <w:lvl w:ilvl="4" w:tplc="D666AB6E">
      <w:numFmt w:val="decimal"/>
      <w:lvlText w:val=""/>
      <w:lvlJc w:val="left"/>
    </w:lvl>
    <w:lvl w:ilvl="5" w:tplc="0FA46574">
      <w:numFmt w:val="decimal"/>
      <w:lvlText w:val=""/>
      <w:lvlJc w:val="left"/>
    </w:lvl>
    <w:lvl w:ilvl="6" w:tplc="80B65DAE">
      <w:numFmt w:val="decimal"/>
      <w:lvlText w:val=""/>
      <w:lvlJc w:val="left"/>
    </w:lvl>
    <w:lvl w:ilvl="7" w:tplc="53CC39DE">
      <w:numFmt w:val="decimal"/>
      <w:lvlText w:val=""/>
      <w:lvlJc w:val="left"/>
    </w:lvl>
    <w:lvl w:ilvl="8" w:tplc="4DB8F7D4">
      <w:numFmt w:val="decimal"/>
      <w:lvlText w:val=""/>
      <w:lvlJc w:val="left"/>
    </w:lvl>
  </w:abstractNum>
  <w:num w:numId="1" w16cid:durableId="172646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607"/>
    <w:rsid w:val="002E6DBF"/>
    <w:rsid w:val="0080690A"/>
    <w:rsid w:val="00A83E4C"/>
    <w:rsid w:val="00C9360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1D6C4"/>
  <w15:docId w15:val="{CDC90D69-C1FF-42A4-A2C1-3BD5B46F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rFonts w:ascii="Arial" w:eastAsia="Arial" w:hAnsi="Arial" w:cs="Arial"/>
      <w:b/>
      <w:bCs/>
      <w:sz w:val="32"/>
      <w:szCs w:val="32"/>
    </w:rPr>
  </w:style>
  <w:style w:type="paragraph" w:styleId="Heading2">
    <w:name w:val="heading 2"/>
    <w:uiPriority w:val="9"/>
    <w:unhideWhenUsed/>
    <w:qFormat/>
    <w:pPr>
      <w:spacing w:before="280" w:after="100"/>
      <w:outlineLvl w:val="1"/>
    </w:pPr>
    <w:rPr>
      <w:rFonts w:ascii="Arial" w:eastAsia="Arial" w:hAnsi="Arial" w:cs="Arial"/>
      <w:b/>
      <w:bCs/>
      <w:sz w:val="26"/>
      <w:szCs w:val="26"/>
    </w:rPr>
  </w:style>
  <w:style w:type="paragraph" w:styleId="Heading3">
    <w:name w:val="heading 3"/>
    <w:uiPriority w:val="9"/>
    <w:unhideWhenUsed/>
    <w:qFormat/>
    <w:pPr>
      <w:spacing w:before="180" w:after="8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10313</Words>
  <Characters>58785</Characters>
  <Application>Microsoft Office Word</Application>
  <DocSecurity>0</DocSecurity>
  <Lines>489</Lines>
  <Paragraphs>137</Paragraphs>
  <ScaleCrop>false</ScaleCrop>
  <Company/>
  <LinksUpToDate>false</LinksUpToDate>
  <CharactersWithSpaces>68961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Satwik Udupi</cp:lastModifiedBy>
  <cp:revision>2</cp:revision>
  <dcterms:created xsi:type="dcterms:W3CDTF">2026-03-19T15:45:00Z</dcterms:created>
  <dcterms:modified xsi:type="dcterms:W3CDTF">2026-03-19T15:49:00Z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f222da7e-55fc-4132-9ba0-af88b0d163eb</vt:lpwstr>
  </property>
</Properties>
</file>