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040"/>
          <w:sz w:val="40"/>
          <w:szCs w:val="40"/>
        </w:rPr>
        <w:t xml:space="preserve">QUANTUM ARMOR VAULT</w:t>
      </w:r>
    </w:p>
    <w:p>
      <w:pPr>
        <w:spacing w:after="200"/>
        <w:jc w:val="center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System Design &amp; Architecture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9, 2026 | Architecture Review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QAV implements a well-engineered zero-knowledge architecture spanning Rust cryptography (ML-KEM-1024 + X25519 hybrid, XChaCha20-Poly1305, Argon2id), Go backend APIs (Chi router, pgx PostgreSQL, Redis), and React Native frontends (Expo SDK 50). The system demonstrates </w:t>
      </w:r>
      <w:r>
        <w:rPr>
          <w:b/>
          <w:bCs/>
        </w:rPr>
        <w:t xml:space="preserve">excellent cryptographic design</w:t>
      </w:r>
      <w:r>
        <w:t xml:space="preserve"> but has </w:t>
      </w:r>
      <w:r>
        <w:rPr>
          <w:b/>
          <w:bCs/>
        </w:rPr>
        <w:t xml:space="preserve">critical operational gaps</w:t>
      </w:r>
      <w:r>
        <w:t xml:space="preserve"> in distributed systems patterns, scalability, and infrastructure hardening.</w:t>
      </w: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t xml:space="preserve">The system follows a four-layer architecture: Frontend (React Native/Expo) communicates via HTTPS/TLS 1.3 to the Go backend, with all cryptographic operations delegated to a Rust core via FFI bridge. Data persistence uses PostgreSQL for metadata, Redis for ephemeral state, and S3-compatible storage (MinIO) for encrypted blobs.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Crypto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derivation, encrypt/decrypt, key agreement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Symmetric + Asymmetric (X25519, ML-KEM)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Vault/file management, sharing, audit 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Zero-knowledge (never decrypts user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auth, client-side encryption, secure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Rust FFI for all crypto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indexing, access control, audit 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Plaintext metadata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limits, session cache, sync 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Ephemeral, no sensitive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S3/MinIO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 blob persistence (5GB max)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 data at rest (client keys)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Strengths</w:t>
      </w:r>
    </w:p>
    <w:p>
      <w:pPr>
        <w:pStyle w:val="Heading2"/>
      </w:pPr>
      <w:r>
        <w:t xml:space="preserve">Cryptographic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Argon2id KDF: </w:t>
      </w:r>
      <w:r>
        <w:t xml:space="preserve">Memory-hard (65 MiB, 3 iterations, 4 lanes) — GPU/ASIC resistant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PQC: </w:t>
      </w:r>
      <w:r>
        <w:t xml:space="preserve">ML-KEM-1024 + X25519 for quantum resistance with classical fallback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AEAD Ciphers: </w:t>
      </w:r>
      <w:r>
        <w:t xml:space="preserve">XChaCha20-Poly1305 + AES-256-GCM-SIV with per-file key derivation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Separation: </w:t>
      </w:r>
      <w:r>
        <w:t xml:space="preserve">Every HKDF derivation uses unique context string (prevents key reuse)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Knowledge: </w:t>
      </w:r>
      <w:r>
        <w:t xml:space="preserve">Server cannot decrypt even with database + S3 access</w:t>
      </w:r>
    </w:p>
    <w:p>
      <w:pPr>
        <w:pStyle w:val="Heading2"/>
      </w:pPr>
      <w:r>
        <w:t xml:space="preserve">Authentication &amp; Authorization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SRP-6a Protocol: </w:t>
      </w:r>
      <w:r>
        <w:t xml:space="preserve">Password never transmitted over the network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FIDO2/WebAuthn: </w:t>
      </w:r>
      <w:r>
        <w:t xml:space="preserve">Hardware security key support for 2FA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RBAC: </w:t>
      </w:r>
      <w:r>
        <w:t xml:space="preserve">Database-enforced vault membership with owner/editor/viewer roles</w:t>
      </w:r>
    </w:p>
    <w:p>
      <w:pPr>
        <w:pStyle w:val="Heading1"/>
      </w:pPr>
      <w:r>
        <w:t xml:space="preserve">Critical 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Impact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rate limiting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replicas = Nx rate limit. Fix: Redis Lua scripts for atomic multi-instance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state not persisted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 restart loses all sync connections. Fix: Move subscriber tracking to Redis pub/sub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multipart upload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5GB limit with single PUT fails on slow networks. Fix: S3 multipart with resumable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LRU evicts rate-limit 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bypass under memory pressure. Fix: volatile-lru + TTL on rate-limit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signing key never rotated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Compromised key = all sessions forged. Fix: Key rotation service with kid in JWT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timestamps leak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Insider can infer user activity without decryption. Fix: Deterministic update bucketing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PgBouncer for connection pooling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connection growth with replicas. Fix: Add PgBouncer sidecar for multiplexing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Prometheus metrics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observability into business metrics. Fix: Add prometheus/client_golang instrumentation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Production Readiness Recommendations</w:t>
      </w:r>
    </w:p>
    <w:p>
      <w:pPr>
        <w:pStyle w:val="Heading2"/>
      </w:pPr>
      <w:r>
        <w:t xml:space="preserve">Phase 1: Security Hardening (Weeks 1-2)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Distributed rate limiting </w:t>
      </w:r>
      <w:r>
        <w:t xml:space="preserve">via Redis Lua scripts for atomic multi-instance enforcement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JWT signing key rotation </w:t>
      </w:r>
      <w:r>
        <w:t xml:space="preserve">with key versioning (kid header) and key table in PostgreSQL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Vault metadata padding </w:t>
      </w:r>
      <w:r>
        <w:t xml:space="preserve">to fixed size to prevent access pattern inference</w:t>
      </w:r>
    </w:p>
    <w:p>
      <w:pPr>
        <w:pStyle w:val="Heading2"/>
      </w:pPr>
      <w:r>
        <w:t xml:space="preserve">Phase 2: Scalability (Weeks 3-4)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Multipart upload support </w:t>
      </w:r>
      <w:r>
        <w:t xml:space="preserve">with chunked S3 uploads and resumable upload state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WebSocket state to Redis </w:t>
      </w:r>
      <w:r>
        <w:t xml:space="preserve">for cross-instance sync and pod-restart resilience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PgBouncer sidecar </w:t>
      </w:r>
      <w:r>
        <w:t xml:space="preserve">for connection multiplexing (1000 client conns to 25 server conns)</w:t>
      </w:r>
    </w:p>
    <w:p>
      <w:pPr>
        <w:pStyle w:val="Heading2"/>
      </w:pPr>
      <w:r>
        <w:t xml:space="preserve">Phase 3: Compliance &amp; Observability (Weeks 5-8)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log retention policy </w:t>
      </w:r>
      <w:r>
        <w:t xml:space="preserve">with pg_partman and automated S3 archival after 90 days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Prometheus metrics </w:t>
      </w:r>
      <w:r>
        <w:t xml:space="preserve">for vault counts, upload durations, audit log sizes, and rate limit hit 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Distributed tracing </w:t>
      </w:r>
      <w:r>
        <w:t xml:space="preserve">via OpenTelemetry for end-to-end request visibility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QAV demonstrates excellent cryptographic design and strong zero-knowledge architecture. The system is well-positioned for security-conscious enterprises once operational gaps in distributed systems patterns (rate limiting, WebSocket persistence), scalability (multipart uploads, connection pooling), and observability (metrics, tracing) are addressed. Estimated timeline to production readiness: 8-10 weeks with focused engineering effort.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QAV — System Design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0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D28D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2026-03-09T21:35:56.363Z</dcterms:created>
  <dcterms:modified xsi:type="dcterms:W3CDTF">2026-03-09T21:35:56.363Z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