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040"/>
          <w:sz w:val="40"/>
          <w:szCs w:val="40"/>
        </w:rPr>
        <w:t xml:space="preserve">QUANTUM ARMOR VAULT</w:t>
      </w:r>
    </w:p>
    <w:p>
      <w:pPr>
        <w:spacing w:after="200"/>
        <w:jc w:val="center"/>
      </w:pPr>
      <w:r>
        <w:rPr>
          <w:rFonts w:ascii="Arial" w:cs="Arial" w:eastAsia="Arial" w:hAnsi="Arial"/>
          <w:color w:val="6D28D9"/>
          <w:sz w:val="28"/>
          <w:szCs w:val="28"/>
        </w:rPr>
        <w:t xml:space="preserve">Incident Response Readiness Assessment</w:t>
      </w:r>
    </w:p>
    <w:p>
      <w:pPr>
        <w:spacing w:after="400"/>
        <w:jc w:val="center"/>
      </w:pPr>
      <w:r>
        <w:rPr>
          <w:rFonts w:ascii="Arial" w:cs="Arial" w:eastAsia="Arial" w:hAnsi="Arial"/>
          <w:color w:val="999999"/>
          <w:sz w:val="20"/>
          <w:szCs w:val="20"/>
        </w:rPr>
        <w:t xml:space="preserve">March 9, 2026 | Operations Review</w:t>
      </w:r>
    </w:p>
    <w:p>
      <w:pPr>
        <w:pStyle w:val="Heading1"/>
      </w:pPr>
      <w:r>
        <w:t xml:space="preserve">Executive Summary</w:t>
      </w:r>
    </w:p>
    <w:p>
      <w:pPr>
        <w:spacing w:after="200"/>
      </w:pPr>
      <w:r>
        <w:rPr>
          <w:b/>
          <w:bCs/>
        </w:rPr>
        <w:t xml:space="preserve">Overall Readiness Score: 45/100</w:t>
      </w:r>
      <w:r>
        <w:t xml:space="preserve"> — QAV is NOT production-ready from an incident response perspective. The application has solid technical foundations (structured logging, health checks, circuit breaker implementation) but critically lacks operational readiness with no production runbooks, untested disaster recovery, and manual incident response processes. Recommendation: </w:t>
      </w:r>
      <w:r>
        <w:rPr>
          <w:b/>
          <w:bCs/>
        </w:rPr>
        <w:t xml:space="preserve">Do not launch until Priority 1 items are complete (estimated 2-3 weeks).</w:t>
      </w:r>
    </w:p>
    <w:p>
      <w:pPr>
        <w:pStyle w:val="Heading1"/>
      </w:pPr>
      <w:r>
        <w:t xml:space="preserve">Readiness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tcPr>
          <w:p>
            <w:r>
              <w:rPr>
                <w:rFonts w:ascii="Arial" w:cs="Arial" w:eastAsia="Arial" w:hAnsi="Arial"/>
                <w:b/>
                <w:bCs/>
                <w:color w:val="C4B5FD"/>
                <w:sz w:val="20"/>
                <w:szCs w:val="20"/>
              </w:rPr>
              <w:t xml:space="preserve">Category</w:t>
            </w:r>
          </w:p>
        </w:tc>
        <w:tc>
          <w:tcPr>
            <w:tcW w:type="dxa" w:w="12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tcPr>
          <w:p>
            <w:r>
              <w:rPr>
                <w:rFonts w:ascii="Arial" w:cs="Arial" w:eastAsia="Arial" w:hAnsi="Arial"/>
                <w:b/>
                <w:bCs/>
                <w:color w:val="C4B5FD"/>
                <w:sz w:val="20"/>
                <w:szCs w:val="20"/>
              </w:rPr>
              <w:t xml:space="preserve">Score</w:t>
            </w:r>
          </w:p>
        </w:tc>
        <w:tc>
          <w:tcPr>
            <w:tcW w:type="dxa" w:w="496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tcPr>
          <w:p>
            <w:r>
              <w:rPr>
                <w:rFonts w:ascii="Arial" w:cs="Arial" w:eastAsia="Arial" w:hAnsi="Arial"/>
                <w:b/>
                <w:bCs/>
                <w:color w:val="C4B5FD"/>
                <w:sz w:val="20"/>
                <w:szCs w:val="20"/>
              </w:rPr>
              <w:t xml:space="preserve">Key Finding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Monitoring &amp; Observability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97706"/>
                <w:sz w:val="20"/>
                <w:szCs w:val="20"/>
              </w:rPr>
              <w:t xml:space="preserve">55/100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Prometheus alerts + PagerDuty configured but no distributed tracing or log centralization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Error Handling &amp; Recovery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97706"/>
                <w:sz w:val="20"/>
                <w:szCs w:val="20"/>
              </w:rPr>
              <w:t xml:space="preserve">60/100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Graceful shutdown + circuit breaker implemented but circuit breaker NOT integrated into API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Security Incident Preparedness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C2626"/>
                <w:sz w:val="20"/>
                <w:szCs w:val="20"/>
              </w:rPr>
              <w:t xml:space="preserve">50/100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 procedure templates exist (frontend-only), no automated detection or response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Disaster Recovery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C2626"/>
                <w:sz w:val="20"/>
                <w:szCs w:val="20"/>
              </w:rPr>
              <w:t xml:space="preserve">40/100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Backup script exists but no RTO/RPO targets, no backup verification, single region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Runbook Readiness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DC2626"/>
                <w:sz w:val="20"/>
                <w:szCs w:val="20"/>
              </w:rPr>
              <w:t xml:space="preserve">20/100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 production runbooks. 10+ critical runbooks needed before launch</w:t>
            </w:r>
          </w:p>
        </w:tc>
      </w:tr>
    </w:tbl>
    <w:p>
      <w:r>
        <w:br w:type="page"/>
      </w:r>
    </w:p>
    <w:p>
      <w:pPr>
        <w:pStyle w:val="Heading1"/>
      </w:pPr>
      <w:r>
        <w:t xml:space="preserve">Critical Findings</w:t>
      </w:r>
    </w:p>
    <w:p>
      <w:pPr>
        <w:pStyle w:val="Heading2"/>
      </w:pPr>
      <w:r>
        <w:t xml:space="preserve">1. Circuit Breaker Implemented But Unused</w:t>
      </w:r>
    </w:p>
    <w:p>
      <w:pPr>
        <w:spacing w:after="120"/>
      </w:pPr>
      <w:r>
        <w:t xml:space="preserve">A full 3-state circuit breaker (163 LOC) exists in internal/resilience/circuit_breaker.go but is never integrated into the API layer. Database, Redis, and S3 calls all bypass it. This means cascading failures will not be contained.</w:t>
      </w:r>
    </w:p>
    <w:p>
      <w:pPr>
        <w:pStyle w:val="Heading2"/>
      </w:pPr>
      <w:r>
        <w:t xml:space="preserve">2. Rate Limiter Fails Open</w:t>
      </w:r>
    </w:p>
    <w:p>
      <w:pPr>
        <w:spacing w:after="120"/>
      </w:pPr>
      <w:r>
        <w:t xml:space="preserve">When Redis is unavailable, the rate limiter allows all requests through. This enables brute-force attacks during Redis outages. The fail-open behavior should be changed to fail-closed with a small in-memory fallback.</w:t>
      </w:r>
    </w:p>
    <w:p>
      <w:pPr>
        <w:pStyle w:val="Heading2"/>
      </w:pPr>
      <w:r>
        <w:t xml:space="preserve">3. No Redis Persistence</w:t>
      </w:r>
    </w:p>
    <w:p>
      <w:pPr>
        <w:spacing w:after="120"/>
      </w:pPr>
      <w:r>
        <w:t xml:space="preserve">Docker-compose Redis has no AOF or RDB persistence configured. Redis restart loses all rate-limit state, session tokens, and sync events. Production deployments must enable AOF with Redis Sentinel for failover.</w:t>
      </w:r>
    </w:p>
    <w:p>
      <w:pPr>
        <w:pStyle w:val="Heading2"/>
      </w:pPr>
      <w:r>
        <w:t xml:space="preserve">4. Untested Backup Recovery</w:t>
      </w:r>
    </w:p>
    <w:p>
      <w:pPr>
        <w:spacing w:after="120"/>
      </w:pPr>
      <w:r>
        <w:t xml:space="preserve">The backup script creates AES-256-CBC encrypted PostgreSQL dumps with SHA-256 checksums and S3 upload. However, restore has never been tested. The encryption key is passed via environment variable (visible in ps output). No incremental backups, no PITR support, single region only.</w:t>
      </w:r>
    </w:p>
    <w:p>
      <w:pPr>
        <w:pStyle w:val="Heading2"/>
      </w:pPr>
      <w:r>
        <w:t xml:space="preserve">5. No Production Runbooks</w:t>
      </w:r>
    </w:p>
    <w:p>
      <w:pPr>
        <w:spacing w:after="120"/>
      </w:pPr>
      <w:r>
        <w:t xml:space="preserve">Zero production runbooks exist. Critical missing procedures: database recovery, key compromise escalation, Redis failover, API restart, high latency investigation, authentication spike response, disk space crisis, certificate expiration, vault corruption detection.</w:t>
      </w:r>
    </w:p>
    <w:p>
      <w:pPr>
        <w:pStyle w:val="Heading1"/>
      </w:pPr>
      <w:r>
        <w:t xml:space="preserve">Failure Scenario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tcPr>
          <w:p>
            <w:r>
              <w:rPr>
                <w:rFonts w:ascii="Arial" w:cs="Arial" w:eastAsia="Arial" w:hAnsi="Arial"/>
                <w:b/>
                <w:bCs/>
                <w:color w:val="C4B5FD"/>
                <w:sz w:val="20"/>
                <w:szCs w:val="20"/>
              </w:rPr>
              <w:t xml:space="preserve">Scenario</w:t>
            </w:r>
          </w:p>
        </w:tc>
        <w:tc>
          <w:tcPr>
            <w:tcW w:type="dxa" w:w="348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tcPr>
          <w:p>
            <w:r>
              <w:rPr>
                <w:rFonts w:ascii="Arial" w:cs="Arial" w:eastAsia="Arial" w:hAnsi="Arial"/>
                <w:b/>
                <w:bCs/>
                <w:color w:val="C4B5FD"/>
                <w:sz w:val="20"/>
                <w:szCs w:val="20"/>
              </w:rPr>
              <w:t xml:space="preserve">Current Behavior</w:t>
            </w:r>
          </w:p>
        </w:tc>
        <w:tc>
          <w:tcPr>
            <w:tcW w:type="dxa" w:w="348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tcPr>
          <w:p>
            <w:r>
              <w:rPr>
                <w:rFonts w:ascii="Arial" w:cs="Arial" w:eastAsia="Arial" w:hAnsi="Arial"/>
                <w:b/>
                <w:bCs/>
                <w:color w:val="C4B5FD"/>
                <w:sz w:val="20"/>
                <w:szCs w:val="20"/>
              </w:rPr>
              <w:t xml:space="preserve">Gap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PostgreSQL pool exhausted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Alert at 80% utilization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 circuit breaker, no auto-cleanup, no escalation path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Redis failure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Rate limiting fails open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Enables brute force, tokens lost, no failover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S3 unavailable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Health check reports degraded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 fallback queue, no retry, uploads lost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Key rotation fails mid-op</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Vault marked as rotating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 rollback, no retry, manual recovery 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DB lock timeout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Client receives error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 retry logic, vault state may be inconsistent</w:t>
            </w:r>
          </w:p>
        </w:tc>
      </w:tr>
    </w:tbl>
    <w:p>
      <w:r>
        <w:br w:type="page"/>
      </w:r>
    </w:p>
    <w:p>
      <w:pPr>
        <w:pStyle w:val="Heading1"/>
      </w:pPr>
      <w:r>
        <w:t xml:space="preserve">Priority Recommendations</w:t>
      </w:r>
    </w:p>
    <w:p>
      <w:pPr>
        <w:pStyle w:val="Heading2"/>
      </w:pPr>
      <w:r>
        <w:t xml:space="preserve">Priority 1: Before Production (12-16 Days)</w:t>
      </w:r>
    </w:p>
    <w:p>
      <w:pPr>
        <w:pStyle w:val="ListParagraph"/>
        <w:numPr>
          <w:ilvl w:val="0"/>
          <w:numId w:val="2"/>
        </w:numPr>
      </w:pPr>
      <w:r>
        <w:rPr>
          <w:b/>
          <w:bCs/>
        </w:rPr>
        <w:t xml:space="preserve">Integrate circuit breakers </w:t>
      </w:r>
      <w:r>
        <w:t xml:space="preserve">(2-3 days) — Wire existing implementation into DB, Redis, and S3 call paths</w:t>
      </w:r>
    </w:p>
    <w:p>
      <w:pPr>
        <w:pStyle w:val="ListParagraph"/>
        <w:numPr>
          <w:ilvl w:val="0"/>
          <w:numId w:val="2"/>
        </w:numPr>
      </w:pPr>
      <w:r>
        <w:rPr>
          <w:b/>
          <w:bCs/>
        </w:rPr>
        <w:t xml:space="preserve">Fix Redis persistence and failover </w:t>
      </w:r>
      <w:r>
        <w:t xml:space="preserve">(1-2 days) — Enable AOF, configure Sentinel, change rate limiter to fail-closed</w:t>
      </w:r>
    </w:p>
    <w:p>
      <w:pPr>
        <w:pStyle w:val="ListParagraph"/>
        <w:numPr>
          <w:ilvl w:val="0"/>
          <w:numId w:val="2"/>
        </w:numPr>
      </w:pPr>
      <w:r>
        <w:rPr>
          <w:b/>
          <w:bCs/>
        </w:rPr>
        <w:t xml:space="preserve">Create 10 production runbooks </w:t>
      </w:r>
      <w:r>
        <w:t xml:space="preserve">(3-4 days) — DB recovery, key compromise, Redis failover, API restart, latency, auth spikes</w:t>
      </w:r>
    </w:p>
    <w:p>
      <w:pPr>
        <w:pStyle w:val="ListParagraph"/>
        <w:numPr>
          <w:ilvl w:val="0"/>
          <w:numId w:val="2"/>
        </w:numPr>
      </w:pPr>
      <w:r>
        <w:rPr>
          <w:b/>
          <w:bCs/>
        </w:rPr>
        <w:t xml:space="preserve">Automate backup verification </w:t>
      </w:r>
      <w:r>
        <w:t xml:space="preserve">(1-2 days) — Nightly test restore to verify backup integrity and measure RTO</w:t>
      </w:r>
    </w:p>
    <w:p>
      <w:pPr>
        <w:pStyle w:val="ListParagraph"/>
        <w:numPr>
          <w:ilvl w:val="0"/>
          <w:numId w:val="2"/>
        </w:numPr>
      </w:pPr>
      <w:r>
        <w:rPr>
          <w:b/>
          <w:bCs/>
        </w:rPr>
        <w:t xml:space="preserve">Add distributed tracing </w:t>
      </w:r>
      <w:r>
        <w:t xml:space="preserve">(2-3 days) — OpenTelemetry integration for end-to-end request visibility</w:t>
      </w:r>
    </w:p>
    <w:p>
      <w:pPr>
        <w:pStyle w:val="ListParagraph"/>
        <w:numPr>
          <w:ilvl w:val="0"/>
          <w:numId w:val="2"/>
        </w:numPr>
      </w:pPr>
      <w:r>
        <w:rPr>
          <w:b/>
          <w:bCs/>
        </w:rPr>
        <w:t xml:space="preserve">Complete anomaly detection </w:t>
      </w:r>
      <w:r>
        <w:t xml:space="preserve">(3-4 days) — Finish framework for automated security event detection</w:t>
      </w:r>
    </w:p>
    <w:p>
      <w:pPr>
        <w:pStyle w:val="Heading2"/>
      </w:pPr>
      <w:r>
        <w:t xml:space="preserve">Priority 2: High (2 Weeks)</w:t>
      </w:r>
    </w:p>
    <w:p>
      <w:pPr>
        <w:pStyle w:val="ListParagraph"/>
        <w:numPr>
          <w:ilvl w:val="0"/>
          <w:numId w:val="2"/>
        </w:numPr>
      </w:pPr>
      <w:r>
        <w:t xml:space="preserve">Implement incident management integration (PagerDuty + Slack automated workflows)</w:t>
      </w:r>
    </w:p>
    <w:p>
      <w:pPr>
        <w:pStyle w:val="ListParagraph"/>
        <w:numPr>
          <w:ilvl w:val="0"/>
          <w:numId w:val="2"/>
        </w:numPr>
      </w:pPr>
      <w:r>
        <w:t xml:space="preserve">Set up multi-region disaster recovery with cross-region replication</w:t>
      </w:r>
    </w:p>
    <w:p>
      <w:pPr>
        <w:pStyle w:val="ListParagraph"/>
        <w:numPr>
          <w:ilvl w:val="0"/>
          <w:numId w:val="2"/>
        </w:numPr>
      </w:pPr>
      <w:r>
        <w:t xml:space="preserve">Implement log aggregation (ELK or Datadog) with centralized search</w:t>
      </w:r>
    </w:p>
    <w:p>
      <w:pPr>
        <w:pStyle w:val="ListParagraph"/>
        <w:numPr>
          <w:ilvl w:val="0"/>
          <w:numId w:val="2"/>
        </w:numPr>
      </w:pPr>
      <w:r>
        <w:t xml:space="preserve">Add emergency key revocation endpoint for immediate compromise response</w:t>
      </w:r>
    </w:p>
    <w:p>
      <w:pPr>
        <w:pStyle w:val="Heading2"/>
      </w:pPr>
      <w:r>
        <w:t xml:space="preserve">Priority 3: Medium (1 Month)</w:t>
      </w:r>
    </w:p>
    <w:p>
      <w:pPr>
        <w:pStyle w:val="ListParagraph"/>
        <w:numPr>
          <w:ilvl w:val="0"/>
          <w:numId w:val="2"/>
        </w:numPr>
      </w:pPr>
      <w:r>
        <w:t xml:space="preserve">Compliance reporting automation (GDPR data subject requests, SOC 2 evidence)</w:t>
      </w:r>
    </w:p>
    <w:p>
      <w:pPr>
        <w:pStyle w:val="ListParagraph"/>
        <w:numPr>
          <w:ilvl w:val="0"/>
          <w:numId w:val="2"/>
        </w:numPr>
      </w:pPr>
      <w:r>
        <w:t xml:space="preserve">Synthetic monitoring with transaction tests (full encrypt-decrypt user journey)</w:t>
      </w:r>
    </w:p>
    <w:p>
      <w:pPr>
        <w:pStyle w:val="ListParagraph"/>
        <w:numPr>
          <w:ilvl w:val="0"/>
          <w:numId w:val="2"/>
        </w:numPr>
      </w:pPr>
      <w:r>
        <w:t xml:space="preserve">Incident simulation exercises (game days with controlled failure injection)</w:t>
      </w:r>
    </w:p>
    <w:p>
      <w:pPr>
        <w:pStyle w:val="Heading1"/>
      </w:pPr>
      <w:r>
        <w:t xml:space="preserve">Conclusion</w:t>
      </w:r>
    </w:p>
    <w:p>
      <w:pPr>
        <w:spacing w:after="200"/>
      </w:pPr>
      <w:r>
        <w:t xml:space="preserve">QAV has strong security architecture but significant operational gaps. The most critical finding is that a fully-implemented circuit breaker sits unused while the system has no protection against cascading failures. Combined with no runbooks, untested backups, and a rate limiter that fails open, the system cannot safely handle production incidents. With 2-3 weeks of focused effort on Priority 1 items, QAV can achieve minimum viable incident response readiness for a controlled production launch.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8"/>
        <w:szCs w:val="18"/>
      </w:rPr>
      <w:t xml:space="preserve">QAV — Incident Response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040"/>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4C1D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2026-03-09T21:37:40.353Z</dcterms:created>
  <dcterms:modified xsi:type="dcterms:W3CDTF">2026-03-09T21:37:40.353Z</dcterms:modified>
</cp:coreProperties>
</file>

<file path=docProps/custom.xml><?xml version="1.0" encoding="utf-8"?>
<Properties xmlns="http://schemas.openxmlformats.org/officeDocument/2006/custom-properties" xmlns:vt="http://schemas.openxmlformats.org/officeDocument/2006/docPropsVTypes"/>
</file>