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Sorting and Batch Allocation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Work from the register, not from the pile. Every sample sorted is ticked off the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Group by analysis type and by expected grade range. Keep high-grade streams away from low-grade.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Set the batch size to what the digest and instrument run can actually handle in one pass.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Insert the quality control samples - standard, blank and duplicate - at the frequency the quality procedure sets, and record where each sits in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Number the batch and write the batch sheet before the samples move 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Flag any sample that cannot be batched, with the reason, rather than holding it silently.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JSEA-PRO-LAB-301-002 Sample Sorting and Batch Allocation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