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Pattern Set-Up - Resin Samples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Run resin batches separately from carbon and from plant solids.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Use dedicated resin glassware and crucibles. Resin ash behaves differently to carbon ash and the carry-over risk is different.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Set the pattern from the batch sheet before any sample is added.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Insert quality control samples appropriate to resin. KBK's carbon standards are not a substitute.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the pattern with a second person.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resin type - GG1200M or GG1200C - against the batch, because the ashing and digest behaviour differ.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JSEA-PRO-LAB-302-004 Sample Pattern Set-Up - Resin Samples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