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Glassware Washing and Drying - Wet Lab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HM-MMM-WHS-FRM-031-R01-JSEA-PRO-LAB-302-025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Rinse immediately after use, before residues dry 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Discard the first rinse to the correct waste stream - an acid or cyanide rinse is not general drain.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Wash with detergent and a brush, then rinse with tap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Acid wash where the method requires it, in the fume cupboard, then rinse thoroughly.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Give a final rinse with distilled or RO/DI water. Tap water leaves dissolved solids behind.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for chips and cracks and discard damaged glassware into the sharps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dry volumetric glassware in an oven - heat changes its calibrated volume.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Store clean glassware inverted or covered.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JSEA-PRO-LAB-302-025 Glassware Washing and Drying - Wet Lab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