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Acid Spill Response and Neutralisation - Wet Lab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Raise the alarm and clear anyone not needed for the response.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Where the spill is near cyanide-bearing material or waste, treat it as a potential HCN release - evacuate, close the door and do not attempt an unprotected clean-up.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Contain the spill before neutralising. Never flush acid to drain untreated.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Apply neutraliser from the outside of the spill inwards, slowly. Fast addition to concentrated acid generates heat and spatter.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neutralisation with pH paper before absorbing.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Absorb, bag and label for chemical waste disposal.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On skin or eye contact, flood at the shower or eyewash for at least 15 minutes. For hydrofluoric acid, apply calcium gluconate gel and treat as a medical emergency regardless of how the skin looks.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and record every spill, however small.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JSEA-PRO-LAB-302-027 Acid Spill Response and Neutralisation - Wet Lab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