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Neutralisation of Empty Reagent Containers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HM-MMM-WHS-FRM-031-R01-JSEA-PRO-LAB-302-030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what the container held before opening it. Never assume from the label alone if it has been re-used.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Rinse the container with water into the neutralisation vessel, not to drain.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Neutralise the rinsate and confirm with pH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Repeat the rinse until the rinsate is neutral.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Deface or remove the original label so the container cannot be mistaken for full.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Dispose of the container to the route its material requires.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in the waste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JSEA-PRO-LAB-302-030 Neutralisation of Empty Reagent Containers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