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AAS Start-Up, Flame Ignition and Shutdown (303  AAS and Instruments)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HM-MMM-WHS-FRM-031-R01-JSEA-PRO-LAB-303-001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extraction blower over the burner is running BEFORE anything else. No extraction, no flame.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acetylene and air supply pressures are at the values the manual states, and that the flashback arrestors are fitted and in date.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Check the burner slot is clean and the drain trap is filled with liquid to the mark. A dry drain trap lets flame back into the spray chamber.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Ignite in the order the PerkinElmer manual sets - air first, then acetylene. Never acetylene first.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Confirm a stable blue flame. An unstable or yellow flame means a blocked nebuliser or wrong gas ratio - shut down and fix it rather than adjusting around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Aspirate blank between samples so the nebuliser does not dry out.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To shut down, aspirate water to clear the system, then extinguish in the reverse order - acetylene off first, then air.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Close the cylinder valves at the end of the session and record the run in the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JSEA-PRO-LAB-303-001 AAS Start-Up, Flame Ignition and Shutdown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