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AAS Sample Reading - Gold and Silver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Fit the correct lamp for the element and allow it the warm-up period the manual states. A cold lamp drifts.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Set the wavelength, slit and lamp current to the PerkinElmer method values, not to values carried over from a GBC method.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Calibrate across the standard range before reading any sample, and confirm the correlation meets the acceptance criterion.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Read the quality control samples at the positions the batch sheet specifies.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Read samples in batch order, aspirating blank between each.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Re-read a drift check standard at the interval the method sets. Where drift exceeds tolerance, recalibrate and re-read everything back to the last good check.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Dilute and re-read any sample above the top standard. Never extrapolate above the calibration.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dilution factor with every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JSEA-PRO-LAB-303-002 AAS Sample Reading - Gold and Silver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