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AAS Calibration, Standardisation and Drift Check (303  AAS and Instruments)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HM-MMM-WHS-FRM-031-R01-JSEA-PRO-LAB-303-004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Prepare or take out calibration standards that are in date and matrix-matched.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Run the blank first and confirm it reads within its acceptance limit. A high blank means contamination somewhere upstream, not a calibration problem.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Calibrate across the working range with at least the number of points the method requires.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Confirm the calibration correlation and the slope against the acceptance criteria. Record both.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Compare the slope against the previous session. A steadily falling slope is a lamp or nebuliser problem developing.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Run a drift check standard at the interval the method sets.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Where drift exceeds tolerance, recalibrate and re-read every sample back to the last good check. Do not correct results arithmetically.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every calibration and drift check in the log against the instrument.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JSEA-PRO-LAB-303-004 AAS Calibration, Standardisation and Drift Check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