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IsaMill Feed and Discharge Sampling Round (022 Milling)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HM-MMM-WHS-FRM-031-R01-JSEA-PRO-MET-201-002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with the control room that the mill is running at steady load and that no media addition or high pressure unit sequence is in progress.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Hearing damage in the mill, screen, compressor and blower areas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Hearing protection mandatory in signed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Double protection at the mill and compressor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Time at the point kept to what the task needs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Take the feed sample first, then the discharge sample, so the pair represents the same material as closely as the residence time allows.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Discard the first 5 to 10 seconds at each point as a line flush, then collect 4 litres.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Slip, trip or fall on wet or slurry-covered walkways around sample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Spillage cleaned up immediately and the point left clean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Walkways kept clear of hoses, buckets and containers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boots with sound tread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damaged or missing grating before use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Stir each sample and split 2 litres for operator determinations and 2 litres for the laboratory.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Determine per cent solids on the Marcy scale for both feed and discharge.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Wet screen the sizing split down to 38 um, dry and weigh each fraction, and record the size distribution for feed and discharge.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Hearing damage in the mill, screen, compressor and blower areas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Hearing protection mandatory in signed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Double protection at the mill and compressor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Time at the point kept to what the task needs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Record mill power draw, feed flow and media level at the time of sampling.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Hearing damage in the mill, screen, compressor and blower areas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Hearing protection mandatory in signed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Double protection at the mill and compressor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Time at the point kept to what the task needs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JSEA-PRO-MET-201-002 IsaMill Feed and Discharge Sampling Round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