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Gold Elution, Electrowinning and Pre-Soak Solution Sampling (061 / 062 Gold recovery)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HM-MMM-WHS-FRM-031-R01-JSEA-PRO-MET-201-013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with the control room where the batch is in the elution sequence before approaching.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Mercury vapour in the gold room, elution and retort areas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Working alone in a cyanide area where a collapse would not be seen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Area ventilation confirmed running before entry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Mercury vapour monitoring where the site procedure requires 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eating, drinking or smoking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Hands washed before leaving the area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Cyanide-area sampling is not done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at the start and end of every round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Radio check-in at the interval set by the Shift Supervisor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Do NOT sample a column that is under pressure or on a heating cycle. Confirm the circuit is at the sampling condition stated in the elution procedure.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Flush the sample line and let the first flow discharge to drain until the temperature at the point is steady.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Collect into a heat-resistant bottle held below the point, not in line with the discharge.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Allow the sample to cool before taking pH or titrating - a hot cyanide solution releases HCN faster and gives a false reading.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Bottle and label for gold, silver and copper assay.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Mercury vapour in the gold room, elution and retort areas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Area ventilation confirmed running before entry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Mercury vapour monitoring where the site procedure requires 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eating, drinking or smoking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Hands washed before leaving the area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Record batch number, elution stage, solution temperature and flow at the time of sampling.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Mercury vapour in the gold room, elution and retort areas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Area ventilation confirmed running before entry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Mercury vapour monitoring where the site procedure requires 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eating, drinking or smoking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Hands washed before leaving the area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JSEA-PRO-MET-201-013 Gold Elution, Electrowinning and Pre-Soak Solution Sampling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