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Sampling During Start-Up, Shutdown and Upset Conditions (201 Plant Sampling)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HM-MMM-WHS-FRM-031-R01-JSEA-PRO-MET-201-024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Establish from the control room what state the plant is in before going out. Do not assume.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During start-up, do not sample a line until flow has been established and held for the period the circuit procedure states. A sample from a part-full line is meaningless and the line may surge when flow arrives.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During shutdown, sample only where the circuit procedure calls for it. Lines being drained and flushed can discharge without warning.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Mark every sample taken outside steady state as OFF-CONDITION on the label and in the register, with the plant state written on it. An unmarked off-condition sample corrupts the shift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Do NOT sample at all during: a gas alarm, a reagent spill response, a power interruption, a confined space entry in the area, or any time the Shift Supervisor has restricted access.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During an upset, the priority is the plant and the people, not the sample. A missed sample is recorded as missed. It is never invented or back-filled.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Once steady state is re-established, note the time and restart the routine schedule from the next full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to the metallurgist which samples were missed and why, so the shift balance is not closed on a gap nobody knows about.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JSEA-PRO-MET-201-024 Sampling During Start-Up, Shutdown and Upset Conditions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