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Reconciliation Against Refinery Outturn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dispatch record is complete - bar numbers, weights, site assays, seal numbers, carrier and date - and countersigned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On receipt of the refinery outturn, compare bar by bar against the site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Reconcile weight first, then assay. A weight difference is a handling or scale problem; an assay difference is a laboratory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Where the difference exceeds the settlement tolerance, request an umpire assay before accepting the outturn.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Track the site-to-refinery assay difference over time. A consistent bias in one direction is a laboratory calibration issue,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Feed the accepted outturn into the monthly metal accounting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outturn statement against the dispatch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JSEA-PRO-MET-202-008 Bullion Reconciliation Against Refinery Outturn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