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Dispatch, Umpire Assay and External Laboratory Reconciliation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Select and prepare the samples for dispatch per the site protocol - umpire splits, check assays and any sample the site laboratory cannot run.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Label and seal each sample, and record it in the dispatch register with the seal number.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Complete the chain of custody form and obtain a signature at each handover.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the dispatch date, carrier and expected turnaround.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On receipt of results, compare against the site result for the same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Track the site-to-external difference over time and report any developing bias to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File the certificate against the dispatch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JSEA-PRO-MET-202-010 Sample Dispatch, Umpire Assay and External Laboratory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