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Thickener Performance Survey - Flux, Bed Level and Flocculant Response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thickener at steady state - feed rate, feed density, bed level, rake torque, underflow rate and flocculant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feed, overflow and underflow simultaneously.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feed and underflow density on the Marcy scale and overflow suspended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solids flux and compare against the design flux from the Roytec control philosophy.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Run a settling test on the feed at the current flocculant dose and at two other doses, and record the settling rate for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Vary the flocculant dose within the agreed range and record the overflow clarity response after each change has settled.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optimum dose, the achieved flux and any deviation from the vendor design basis.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JSEA-PRO-MET-203-007 Thickener Performance Survey - Flux, Bed Level and Flocculant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