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and Resin Loss Quantification Survey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inventory reconciliation for the period as the starting point - it says how much is missing.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every stream leaving the circuit that could carry carbon or resin: screen undersizes, thickener overflow and underflow, the tailings line, and any launder or sump overflow.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Recover, dry and weigh carbon and resin from each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Estimate attrition from the bead and particle size distribution trend rather than from a single measurement.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Add the located losses and compare against the reconciliation gap.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located loss does not account for the gap, look for an unrecorded movement or a spillage route before concluding it is attrition.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by location so the fix can be targeted, and update RA-01 and RA-02.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JSEA-PRO-MET-203-011 Carbon and Resin Loss Quantification Survey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