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Static and Dynamic Settling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sample at the thickener feed density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Make up flocculant at the plant strength. A test run on differently prepared flocculant does not transfer to the plant.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Fill the cylinder, add the flocculant dose and mix with the plunger using the standard number of strokes. Over-mixing shears the floc and understates the settling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Start the clock and record the interface height at set intervals.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Continue until the interface stops moving, then record the compaction over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Repeat at three or more flocculant doses to find the response curve.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settling rate and the achievable underflow density for each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optimum dose and the flux against the thickener design basis.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JSEA-PRO-MET-204-009 Static and Dynamic Settling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