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Resin Particle Size Distribution and Fines Determination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Wash the resin sample free of slurry over the retention aperture and drain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Do not dry the resin to the point of shrinkage - measure it in the drained wet state the method specifies.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Screen through the sieve set on the Ro-Tap for the standard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Weigh or measure the volume of each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Calculate the distribution and report the fraction below the screen retention aperture as the at-risk fraction.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Inspect a counted subsample for broken and cracked beads and report whole bead count as a percentage.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Trend against the previous month and against the resin loss accounting.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JSEA-PRO-MET-204-015 Resin Particle Size Distribution and Fines Determination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