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Dry Sieve Analysis - Ro-Tap RX29 and 200 mm Sieve Set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sieve set is clean and the apertures are intact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Dry the sample to constant mass and record the dry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Stack the sieves in descending aperture order with the pan at the bottom.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the sample onto the top sieve. Do not overload - an overloaded sieve blinds and under-reports the fines.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Shake on the Ro-Tap for the standard period with the sound enclosure closed.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Weigh each retained fraction and the pan.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the sum against the dry mass and repeat if the loss exceeds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Clean the sieves immediately after use and record the sieve set identity against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JSEA-PRO-MET-204-016 Dry Sieve Analysis - Ro-Tap RX29 and 200 mm Sieve Set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