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Fouling, Osmotic Shock and Bead Integrity Assessment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the resin sample from the transfer stream, not from a settled hopper.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Wash free of slurry over the retention aperture.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Run the bead size distribution per the resin PSD method and record the fraction below the retention aperture.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Count a subsample for whole, cracked and broken beads and report whole bead count as a percentage.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Inspect for fouling - discolouration, coating and change in bulk density against fresh resin.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fouling is suspected, run the acid and caustic wash sequence at the bench and re-measure capacity against an unwashed split.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Trend all measures against the conditioning and transfer history.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against the acceptance criteria once Goldquip supplies them - until then, report the trend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JSEA-PRO-MET-205-014 Resin Fouling, Osmotic Shock and Bead Integrity Assessment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