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Acid Spill Response and Neutralisation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Contain the spill first, then neutralise. Never flush an acid spill to drain untreated.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Where the spill is anywhere near cyanide-bearing material or waste, treat it as a potential HCN release - evacuate, raise the alarm and do not attempt to clean it up unprotected.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Apply neutralising agent from the outside of the spill inwards, slowly. Adding neutraliser fast to a concentrated acid generates heat and spatter.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neutralisation with pH paper before absorbing.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Absorb, bag and label for chemical waste disposal.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Ventilate the area and confirm the fume cupboard and general extraction are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On skin or eye contact, flood at the safety shower or eyewash for at least 15 minutes and get medical attention. For hydrofluoric acid, apply calcium gluconate gel and treat as a medical emergency regardless of how the skin looks.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and record every spill.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JSEA-PRO-MET-206-006 Acid Spill Response and Neutralisation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