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 Lab Waste, Residue and Effluent Disposal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HM-MMM-WHS-FRM-031-R01-JSEA-PRO-MET-206-007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Segregate at the bench. Cyanide-bearing, acidic, and general waste go to separate containers - never the same one.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NEVER put acidic waste into a cyanide-bearing waste container. That is an HCN generation event in a closed bin.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Neutralise acidic waste before it goes to any shared route, and confirm with pH paper.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Route cyanide-bearing effluent to the designated destination only. Confirm where that is before the first litre is generated.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Label every waste container with contents, hazard and accumulation start date.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Log the waste in the register as it is generated, not from memory at the end of the week.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Keep solid residues from testwork until the result is reported and accepted, then dispose.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Arrange removal at the set interval and file the disposal documentation.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JSEA-PRO-MET-206-007 Met Lab Waste, Residue and Effluent Disposal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