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Receipt, Registration and Chain of Custody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SWI-PRO-LAB-301-001  Sample Receipt, Registration and Chain of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receipt, registration and chain of custody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Receive samples into the laboratory with a chain of custody that holds.</w:t>
      </w:r>
    </w:p>
    <w:p>
      <w:pPr>
        <w:pStyle w:val="ListParagraph"/>
        <w:numPr>
          <w:ilvl w:val="0"/>
          <w:numId w:val="1"/>
        </w:numPr>
        <w:spacing w:after="60" w:line="245"/>
      </w:pPr>
      <w:r>
        <w:rPr>
          <w:rFonts w:ascii="Calibri" w:cs="Calibri" w:eastAsia="Calibri" w:hAnsi="Calibri"/>
          <w:sz w:val="17"/>
          <w:szCs w:val="17"/>
        </w:rPr>
        <w:t xml:space="preserve">A sample that cannot be traced to a point, a time and a shift is worthless however well it is analysed.</w:t>
      </w:r>
    </w:p>
    <w:p>
      <w:pPr>
        <w:spacing w:after="60" w:before="0" w:line="245"/>
      </w:pPr>
      <w:r>
        <w:rPr>
          <w:rFonts w:ascii="Calibri" w:cs="Calibri" w:eastAsia="Calibri" w:hAnsi="Calibri"/>
          <w:sz w:val="17"/>
          <w:szCs w:val="17"/>
        </w:rPr>
        <w:t xml:space="preserve">It is read with work instruction SWI-PRO-LAB-301-001,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delivery against the handover sheet - every sample listed is present and every sample present is listed.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Reject and record any sample that is unlabelled, illegible, leaking, or clearly the wrong material.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Register each sample against its point, date, time, shift and the analyses requested.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Assign a laboratory number and mark it on the container.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Weigh the sample where the method requires a receipt mass, and record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Sign the handover and return a copy to the deliverer. A handover without a signature is not a handover.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Move the samples to the sorting area or to storage for their stream.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delivery from the plant or the field.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delivery against the handover sheet - every sample listed is present and every sample present is listed.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and record any sample that is unlabelled, illegible, leaking, or clearly the wrong material.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Register each sample against its point, date, time, shift and the analyses requested.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Assign a laboratory number and mark it on the container.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the sample where the method requires a receipt mass, and record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Sign the handover and return a copy to the deliverer. A handover without a signature is not a handover.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Move the samples to the sorting area or to storage for their stream.</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register or logbook</w:t>
      </w:r>
    </w:p>
    <w:p>
      <w:pPr>
        <w:pStyle w:val="ListParagraph"/>
        <w:numPr>
          <w:ilvl w:val="0"/>
          <w:numId w:val="1"/>
        </w:numPr>
        <w:spacing w:after="60" w:line="245"/>
      </w:pPr>
      <w:r>
        <w:rPr>
          <w:rFonts w:ascii="Calibri" w:cs="Calibri" w:eastAsia="Calibri" w:hAnsi="Calibri"/>
          <w:sz w:val="17"/>
          <w:szCs w:val="17"/>
        </w:rPr>
        <w:t xml:space="preserve">Platform balance FG-150KAM 150 kg x 0.05 kg</w:t>
      </w:r>
    </w:p>
    <w:p>
      <w:pPr>
        <w:pStyle w:val="ListParagraph"/>
        <w:numPr>
          <w:ilvl w:val="0"/>
          <w:numId w:val="1"/>
        </w:numPr>
        <w:spacing w:after="60" w:line="245"/>
      </w:pPr>
      <w:r>
        <w:rPr>
          <w:rFonts w:ascii="Calibri" w:cs="Calibri" w:eastAsia="Calibri" w:hAnsi="Calibri"/>
          <w:sz w:val="17"/>
          <w:szCs w:val="17"/>
        </w:rPr>
        <w:t xml:space="preserve">Labels and marker</w:t>
      </w:r>
    </w:p>
    <w:p>
      <w:pPr>
        <w:pStyle w:val="ListParagraph"/>
        <w:numPr>
          <w:ilvl w:val="0"/>
          <w:numId w:val="1"/>
        </w:numPr>
        <w:spacing w:after="60" w:line="245"/>
      </w:pPr>
      <w:r>
        <w:rPr>
          <w:rFonts w:ascii="Calibri" w:cs="Calibri" w:eastAsia="Calibri" w:hAnsi="Calibri"/>
          <w:sz w:val="17"/>
          <w:szCs w:val="17"/>
        </w:rPr>
        <w:t xml:space="preserve">Storage racks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KBK-MIR-LAB-PRE-SOP-001 Penerimaan Sampel</w:t>
      </w:r>
    </w:p>
    <w:p>
      <w:pPr>
        <w:pStyle w:val="ListParagraph"/>
        <w:numPr>
          <w:ilvl w:val="0"/>
          <w:numId w:val="1"/>
        </w:numPr>
        <w:spacing w:after="60" w:line="245"/>
      </w:pPr>
      <w:r>
        <w:rPr>
          <w:rFonts w:ascii="Calibri" w:cs="Calibri" w:eastAsia="Calibri" w:hAnsi="Calibri"/>
          <w:sz w:val="17"/>
          <w:szCs w:val="17"/>
        </w:rPr>
        <w:t xml:space="preserve">Heritage register line JSEA-PRO-LAB-301-001,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JSEA-PRO-LAB-301-001  ·  Sample Receipt, Registration and Chain of Custody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