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Jaw Crusher Liner Change and Blockage Clearing</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JSEA-PRO-LAB-301-005</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SWI-PRO-LAB-301-005  Jaw Crusher Liner Change and Blockage Clearing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HM-PRC-VXX-PRO212  Laboratory Sample Preparation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301  Sample Preparation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JSEA-PRO-LAB-301-005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jaw crusher liner change and blockage clearing in 301  Sample Preparation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Change the jaw crusher liners and clear a blockage safely.</w:t>
      </w:r>
    </w:p>
    <w:p>
      <w:pPr>
        <w:spacing w:after="60" w:before="0" w:line="245"/>
      </w:pPr>
      <w:r>
        <w:rPr>
          <w:rFonts w:ascii="Calibri" w:cs="Calibri" w:eastAsia="Calibri" w:hAnsi="Calibri"/>
          <w:sz w:val="17"/>
          <w:szCs w:val="17"/>
        </w:rPr>
        <w:t xml:space="preserve">It is read with work instruction SWI-PRO-LAB-301-005, which gives the step-by-step method, and with HM-PRC-VXX-PRO212 Laboratory Sample Preparation,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To be set once the crushing scope is resolved.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Jaw crusher - NOT PURCHASED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SWI-PRO-LAB-301-005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SWI-PRO-LAB-301-005.</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crusher purchased, so KBK PRE-SOP-105 and -110 do not apply. Delete with 301-004 once confirmed</w:t>
      </w:r>
    </w:p>
    <w:p>
      <w:pPr>
        <w:pStyle w:val="ListParagraph"/>
        <w:numPr>
          <w:ilvl w:val="0"/>
          <w:numId w:val="1"/>
        </w:numPr>
        <w:spacing w:after="60" w:line="245"/>
      </w:pPr>
      <w:r>
        <w:rPr>
          <w:rFonts w:ascii="Calibri" w:cs="Calibri" w:eastAsia="Calibri" w:hAnsi="Calibri"/>
          <w:sz w:val="17"/>
          <w:szCs w:val="17"/>
        </w:rPr>
        <w:t xml:space="preserve">Heritage register line JSEA-PRO-LAB-301-005,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JSEA-PRO-LAB-301-005</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JSEA-PRO-LAB-301-005  ·  Jaw Crusher Liner Change and Blockage Clearing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