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Pulp Sample Packaging, Labelling and Storage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SWI-PRO-LAB-301-010  Pulp Sample Packaging, Labelling and Storage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pulp sample packaging, labelling and storage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Package, label and store pulps so they can be found and trusted later.</w:t>
      </w:r>
    </w:p>
    <w:p>
      <w:pPr>
        <w:pStyle w:val="ListParagraph"/>
        <w:numPr>
          <w:ilvl w:val="0"/>
          <w:numId w:val="1"/>
        </w:numPr>
        <w:spacing w:after="60" w:line="245"/>
      </w:pPr>
      <w:r>
        <w:rPr>
          <w:rFonts w:ascii="Calibri" w:cs="Calibri" w:eastAsia="Calibri" w:hAnsi="Calibri"/>
          <w:sz w:val="17"/>
          <w:szCs w:val="17"/>
        </w:rPr>
        <w:t xml:space="preserve">Pulps are re-assayed months later in a dispute. If the label has faded or the bag has split, the argument is lost before it starts.</w:t>
      </w:r>
    </w:p>
    <w:p>
      <w:pPr>
        <w:spacing w:after="60" w:before="0" w:line="245"/>
      </w:pPr>
      <w:r>
        <w:rPr>
          <w:rFonts w:ascii="Calibri" w:cs="Calibri" w:eastAsia="Calibri" w:hAnsi="Calibri"/>
          <w:sz w:val="17"/>
          <w:szCs w:val="17"/>
        </w:rPr>
        <w:t xml:space="preserve">It is read with work instruction SWI-PRO-LAB-301-010,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Package the pulp in the container type the storage period requires - a paper envelope is not a two-year container.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Label with the laboratory number, sample point, date and batch, in permanent marker, on the container itself and not only on a stick-on label.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Seal so the pulp cannot escape and moisture cannot enter.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Store to the rack position recorded in the storage register. An unregistered pulp is a lost pulp.</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high-grade and bullion-related pulps in the controlled storage area.</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Review storage on the retention schedule and dispose only with authorisation.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prepared pulp.</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Package the pulp in the container type the storage period requires - a paper envelope is not a two-year container.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Label with the laboratory number, sample point, date and batch, in permanent marker, on the container itself and not only on a stick-on label.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Seal so the pulp cannot escape and moisture cannot enter.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Store to the rack position recorded in the storage register. An unregistered pulp is a lost pulp.</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high-grade and bullion-related pulps in the controlled storage area.</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Review storage on the retention schedule and dispose only with authorisation.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envelopes or bags</w:t>
      </w:r>
    </w:p>
    <w:p>
      <w:pPr>
        <w:pStyle w:val="ListParagraph"/>
        <w:numPr>
          <w:ilvl w:val="0"/>
          <w:numId w:val="1"/>
        </w:numPr>
        <w:spacing w:after="60" w:line="245"/>
      </w:pPr>
      <w:r>
        <w:rPr>
          <w:rFonts w:ascii="Calibri" w:cs="Calibri" w:eastAsia="Calibri" w:hAnsi="Calibri"/>
          <w:sz w:val="17"/>
          <w:szCs w:val="17"/>
        </w:rPr>
        <w:t xml:space="preserve">Labels and permanent marker</w:t>
      </w:r>
    </w:p>
    <w:p>
      <w:pPr>
        <w:pStyle w:val="ListParagraph"/>
        <w:numPr>
          <w:ilvl w:val="0"/>
          <w:numId w:val="1"/>
        </w:numPr>
        <w:spacing w:after="60" w:line="245"/>
      </w:pPr>
      <w:r>
        <w:rPr>
          <w:rFonts w:ascii="Calibri" w:cs="Calibri" w:eastAsia="Calibri" w:hAnsi="Calibri"/>
          <w:sz w:val="17"/>
          <w:szCs w:val="17"/>
        </w:rPr>
        <w:t xml:space="preserve">Storage racks and boxes</w:t>
      </w:r>
    </w:p>
    <w:p>
      <w:pPr>
        <w:pStyle w:val="ListParagraph"/>
        <w:numPr>
          <w:ilvl w:val="0"/>
          <w:numId w:val="1"/>
        </w:numPr>
        <w:spacing w:after="60" w:line="245"/>
      </w:pPr>
      <w:r>
        <w:rPr>
          <w:rFonts w:ascii="Calibri" w:cs="Calibri" w:eastAsia="Calibri" w:hAnsi="Calibri"/>
          <w:sz w:val="17"/>
          <w:szCs w:val="17"/>
        </w:rPr>
        <w:t xml:space="preserve">Storage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KBK-MIR-LAB-WET-SOP-048 Pengemasan Sampel Pulp</w:t>
      </w:r>
    </w:p>
    <w:p>
      <w:pPr>
        <w:pStyle w:val="ListParagraph"/>
        <w:numPr>
          <w:ilvl w:val="0"/>
          <w:numId w:val="1"/>
        </w:numPr>
        <w:spacing w:after="60" w:line="245"/>
      </w:pPr>
      <w:r>
        <w:rPr>
          <w:rFonts w:ascii="Calibri" w:cs="Calibri" w:eastAsia="Calibri" w:hAnsi="Calibri"/>
          <w:sz w:val="17"/>
          <w:szCs w:val="17"/>
        </w:rPr>
        <w:t xml:space="preserve">Heritage register line JSEA-PRO-LAB-301-010,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JSEA-PRO-LAB-301-010  ·  Pulp Sample Packaging, Labelling and Storage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