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Dispatch to External and Umpire Laboratory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SWI-PRO-LAB-301-011  Sample Dispatch to External and Umpire Laboratory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dispatch to external and umpire laboratory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Dispatch samples to an external or umpire laboratory with a chain of custody.</w:t>
      </w:r>
    </w:p>
    <w:p>
      <w:pPr>
        <w:pStyle w:val="ListParagraph"/>
        <w:numPr>
          <w:ilvl w:val="0"/>
          <w:numId w:val="1"/>
        </w:numPr>
        <w:spacing w:after="60" w:line="245"/>
      </w:pPr>
      <w:r>
        <w:rPr>
          <w:rFonts w:ascii="Calibri" w:cs="Calibri" w:eastAsia="Calibri" w:hAnsi="Calibri"/>
          <w:sz w:val="17"/>
          <w:szCs w:val="17"/>
        </w:rPr>
        <w:t xml:space="preserve">An umpire result is only usable if the custody chain is intact.</w:t>
      </w:r>
    </w:p>
    <w:p>
      <w:pPr>
        <w:spacing w:after="60" w:before="0" w:line="245"/>
      </w:pPr>
      <w:r>
        <w:rPr>
          <w:rFonts w:ascii="Calibri" w:cs="Calibri" w:eastAsia="Calibri" w:hAnsi="Calibri"/>
          <w:sz w:val="17"/>
          <w:szCs w:val="17"/>
        </w:rPr>
        <w:t xml:space="preserve">It is read with work instruction SWI-PRO-LAB-301-011,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Select and prepare the splits for dispatch per the protocol - umpire, check assay, or work the site laboratory cannot do.</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Label and seal each sample, and record the seal number in the dispatch register.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Complete the chain of custody form and obtain a signature at every handover.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the dispatch date, carrier and the expected turnaround.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Retain the paired split on site until the external result is received and accepted.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On receipt, file the certificate against the dispatch record and pass it to the reconciliation.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dispatch.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Select and prepare the splits for dispatch per the protocol - umpire, check assay, or work the site laboratory cannot do.</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Label and seal each sample, and record the seal number in the dispatch register.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Complete the chain of custody form and obtain a signature at every handover.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the dispatch date, carrier and the expected turnaround.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Retain the paired split on site until the external result is received and accepted.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On receipt, file the certificate against the dispatch record and pass it to the reconciliation.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Packing materials and seals</w:t>
      </w:r>
    </w:p>
    <w:p>
      <w:pPr>
        <w:pStyle w:val="ListParagraph"/>
        <w:numPr>
          <w:ilvl w:val="0"/>
          <w:numId w:val="1"/>
        </w:numPr>
        <w:spacing w:after="60" w:line="245"/>
      </w:pPr>
      <w:r>
        <w:rPr>
          <w:rFonts w:ascii="Calibri" w:cs="Calibri" w:eastAsia="Calibri" w:hAnsi="Calibri"/>
          <w:sz w:val="17"/>
          <w:szCs w:val="17"/>
        </w:rPr>
        <w:t xml:space="preserve">Chain of custody forms</w:t>
      </w:r>
    </w:p>
    <w:p>
      <w:pPr>
        <w:pStyle w:val="ListParagraph"/>
        <w:numPr>
          <w:ilvl w:val="0"/>
          <w:numId w:val="1"/>
        </w:numPr>
        <w:spacing w:after="60" w:line="245"/>
      </w:pPr>
      <w:r>
        <w:rPr>
          <w:rFonts w:ascii="Calibri" w:cs="Calibri" w:eastAsia="Calibri" w:hAnsi="Calibri"/>
          <w:sz w:val="17"/>
          <w:szCs w:val="17"/>
        </w:rPr>
        <w:t xml:space="preserve">Dispatch register</w:t>
      </w:r>
    </w:p>
    <w:p>
      <w:pPr>
        <w:pStyle w:val="ListParagraph"/>
        <w:numPr>
          <w:ilvl w:val="0"/>
          <w:numId w:val="1"/>
        </w:numPr>
        <w:spacing w:after="60" w:line="245"/>
      </w:pPr>
      <w:r>
        <w:rPr>
          <w:rFonts w:ascii="Calibri" w:cs="Calibri" w:eastAsia="Calibri" w:hAnsi="Calibri"/>
          <w:sz w:val="17"/>
          <w:szCs w:val="17"/>
        </w:rPr>
        <w:t xml:space="preserve">Balance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KBK-MIR-LAB-PRE-SOP-009 Pengiriman sampel ke laboratorium eksternal</w:t>
      </w:r>
    </w:p>
    <w:p>
      <w:pPr>
        <w:pStyle w:val="ListParagraph"/>
        <w:numPr>
          <w:ilvl w:val="0"/>
          <w:numId w:val="1"/>
        </w:numPr>
        <w:spacing w:after="60" w:line="245"/>
      </w:pPr>
      <w:r>
        <w:rPr>
          <w:rFonts w:ascii="Calibri" w:cs="Calibri" w:eastAsia="Calibri" w:hAnsi="Calibri"/>
          <w:sz w:val="17"/>
          <w:szCs w:val="17"/>
        </w:rPr>
        <w:t xml:space="preserve">Heritage register line JSEA-PRO-LAB-301-011,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JSEA-PRO-LAB-301-011  ·  Sample Dispatch to External and Umpire Laboratory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