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Residue and Reject Pulp Handling and Disposal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SWI-PRO-LAB-301-012  Residue and Reject Pulp Handling and Disposal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residue and reject pulp handling and disposal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Handle and dispose of residues and reject pulps.</w:t>
      </w:r>
    </w:p>
    <w:p>
      <w:pPr>
        <w:pStyle w:val="ListParagraph"/>
        <w:numPr>
          <w:ilvl w:val="0"/>
          <w:numId w:val="1"/>
        </w:numPr>
        <w:spacing w:after="60" w:line="245"/>
      </w:pPr>
      <w:r>
        <w:rPr>
          <w:rFonts w:ascii="Calibri" w:cs="Calibri" w:eastAsia="Calibri" w:hAnsi="Calibri"/>
          <w:sz w:val="17"/>
          <w:szCs w:val="17"/>
        </w:rPr>
        <w:t xml:space="preserve">Reject pulps carry gold and cyanide-bearing material. They are not general waste.</w:t>
      </w:r>
    </w:p>
    <w:p>
      <w:pPr>
        <w:spacing w:after="60" w:before="0" w:line="245"/>
      </w:pPr>
      <w:r>
        <w:rPr>
          <w:rFonts w:ascii="Calibri" w:cs="Calibri" w:eastAsia="Calibri" w:hAnsi="Calibri"/>
          <w:sz w:val="17"/>
          <w:szCs w:val="17"/>
        </w:rPr>
        <w:t xml:space="preserve">It is read with work instruction SWI-PRO-LAB-301-012,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Keep rejects segregated by batch until the result is reported and accepted. A reject disposed of before the result is accepted cannot be re-run.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Store rejects in the labelled bins for their stream, not loose on the floor.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authorisation before disposing of any reject.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Move residues with the trolley or light vehicle, not by carrying. Loads are heavy and the route is usually across a yard.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Dispose to the designated point only. Cyanide-bearing residue does not go to general waste.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disposal in the waste register with the batch numbers it covered.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 with disposal at the retention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Keep rejects segregated by batch until the result is reported and accepted. A reject disposed of before the result is accepted cannot be re-run.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Store rejects in the labelled bins for their stream, not loose on the floor.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authorisation before disposing of any reject.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Move residues with the trolley or light vehicle, not by carrying. Loads are heavy and the route is usually across a yard.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Dispose to the designated point only. Cyanide-bearing residue does not go to general waste.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disposal in the waste register with the batch numbers it covered.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Residue bins</w:t>
      </w:r>
    </w:p>
    <w:p>
      <w:pPr>
        <w:pStyle w:val="ListParagraph"/>
        <w:numPr>
          <w:ilvl w:val="0"/>
          <w:numId w:val="1"/>
        </w:numPr>
        <w:spacing w:after="60" w:line="245"/>
      </w:pPr>
      <w:r>
        <w:rPr>
          <w:rFonts w:ascii="Calibri" w:cs="Calibri" w:eastAsia="Calibri" w:hAnsi="Calibri"/>
          <w:sz w:val="17"/>
          <w:szCs w:val="17"/>
        </w:rPr>
        <w:t xml:space="preserve">Light vehicle or trolley</w:t>
      </w:r>
    </w:p>
    <w:p>
      <w:pPr>
        <w:pStyle w:val="ListParagraph"/>
        <w:numPr>
          <w:ilvl w:val="0"/>
          <w:numId w:val="1"/>
        </w:numPr>
        <w:spacing w:after="60" w:line="245"/>
      </w:pPr>
      <w:r>
        <w:rPr>
          <w:rFonts w:ascii="Calibri" w:cs="Calibri" w:eastAsia="Calibri" w:hAnsi="Calibri"/>
          <w:sz w:val="17"/>
          <w:szCs w:val="17"/>
        </w:rPr>
        <w:t xml:space="preserve">Waste register</w:t>
      </w:r>
    </w:p>
    <w:p>
      <w:pPr>
        <w:pStyle w:val="ListParagraph"/>
        <w:numPr>
          <w:ilvl w:val="0"/>
          <w:numId w:val="1"/>
        </w:numPr>
        <w:spacing w:after="60" w:line="245"/>
      </w:pPr>
      <w:r>
        <w:rPr>
          <w:rFonts w:ascii="Calibri" w:cs="Calibri" w:eastAsia="Calibri" w:hAnsi="Calibri"/>
          <w:sz w:val="17"/>
          <w:szCs w:val="17"/>
        </w:rPr>
        <w:t xml:space="preserve">Dust masks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KBK-MIR-LAB-PRE-SOP-010 Pemindahan residu dan pulp sampel</w:t>
      </w:r>
    </w:p>
    <w:p>
      <w:pPr>
        <w:pStyle w:val="ListParagraph"/>
        <w:numPr>
          <w:ilvl w:val="0"/>
          <w:numId w:val="1"/>
        </w:numPr>
        <w:spacing w:after="60" w:line="245"/>
      </w:pPr>
      <w:r>
        <w:rPr>
          <w:rFonts w:ascii="Calibri" w:cs="Calibri" w:eastAsia="Calibri" w:hAnsi="Calibri"/>
          <w:sz w:val="17"/>
          <w:szCs w:val="17"/>
        </w:rPr>
        <w:t xml:space="preserve">Heritage register line JSEA-PRO-LAB-301-012,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JSEA-PRO-LAB-301-012  ·  Residue and Reject Pulp Handling and Disposal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