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Sample Pattern Set-Up - Resin Samples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SWI-PRO-LAB-302-004  Sample Pattern Set-Up - Resin Samples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JSEA-PRO-LAB-302-004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sample pattern set-up - resin samples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Lay out the resin sample pattern.</w:t>
      </w:r>
    </w:p>
    <w:p>
      <w:pPr>
        <w:pStyle w:val="ListParagraph"/>
        <w:numPr>
          <w:ilvl w:val="0"/>
          <w:numId w:val="1"/>
        </w:numPr>
        <w:spacing w:after="60" w:line="245"/>
      </w:pPr>
      <w:r>
        <w:rPr>
          <w:rFonts w:ascii="Calibri" w:cs="Calibri" w:eastAsia="Calibri" w:hAnsi="Calibri"/>
          <w:sz w:val="17"/>
          <w:szCs w:val="17"/>
        </w:rPr>
        <w:t xml:space="preserve">Resin is ReCYN-specific and behaves differently to carbon in the ash and digest steps.</w:t>
      </w:r>
    </w:p>
    <w:p>
      <w:pPr>
        <w:spacing w:after="60" w:before="0" w:line="245"/>
      </w:pPr>
      <w:r>
        <w:rPr>
          <w:rFonts w:ascii="Calibri" w:cs="Calibri" w:eastAsia="Calibri" w:hAnsi="Calibri"/>
          <w:sz w:val="17"/>
          <w:szCs w:val="17"/>
        </w:rPr>
        <w:t xml:space="preserve">It is read with work instruction SWI-PRO-LAB-302-004,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Run resin batches separately from carbon and from plant solids.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Use dedicated resin glassware and crucibles. Resin ash behaves differently to carbon ash and the carry-over risk is different.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Set the pattern from the batch sheet before any sample is added.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Insert quality control samples appropriate to resin. KBK's carbon standards are not a substitute.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Confirm the pattern with a second person.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the resin type - GG1200M or GG1200C - against the batch, because the ashing and digest behaviour differ.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resin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Run resin batches separately from carbon and from plant solids.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Use dedicated resin glassware and crucibles. Resin ash behaves differently to carbon ash and the carry-over risk is different.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Set the pattern from the batch sheet before any sample is added.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Insert quality control samples appropriate to resin. KBK's carbon standards are not a substitute.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Confirm the pattern with a second person.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the resin type - GG1200M or GG1200C - against the batch, because the ashing and digest behaviour differ.</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racks</w:t>
      </w:r>
    </w:p>
    <w:p>
      <w:pPr>
        <w:pStyle w:val="ListParagraph"/>
        <w:numPr>
          <w:ilvl w:val="0"/>
          <w:numId w:val="1"/>
        </w:numPr>
        <w:spacing w:after="60" w:line="245"/>
      </w:pPr>
      <w:r>
        <w:rPr>
          <w:rFonts w:ascii="Calibri" w:cs="Calibri" w:eastAsia="Calibri" w:hAnsi="Calibri"/>
          <w:sz w:val="17"/>
          <w:szCs w:val="17"/>
        </w:rPr>
        <w:t xml:space="preserve">Batch sheet</w:t>
      </w:r>
    </w:p>
    <w:p>
      <w:pPr>
        <w:pStyle w:val="ListParagraph"/>
        <w:numPr>
          <w:ilvl w:val="0"/>
          <w:numId w:val="1"/>
        </w:numPr>
        <w:spacing w:after="60" w:line="245"/>
      </w:pPr>
      <w:r>
        <w:rPr>
          <w:rFonts w:ascii="Calibri" w:cs="Calibri" w:eastAsia="Calibri" w:hAnsi="Calibri"/>
          <w:sz w:val="17"/>
          <w:szCs w:val="17"/>
        </w:rPr>
        <w:t xml:space="preserve">Dedicated resin crucibles</w:t>
      </w:r>
    </w:p>
    <w:p>
      <w:pPr>
        <w:pStyle w:val="ListParagraph"/>
        <w:numPr>
          <w:ilvl w:val="0"/>
          <w:numId w:val="1"/>
        </w:numPr>
        <w:spacing w:after="60" w:line="245"/>
      </w:pPr>
      <w:r>
        <w:rPr>
          <w:rFonts w:ascii="Calibri" w:cs="Calibri" w:eastAsia="Calibri" w:hAnsi="Calibri"/>
          <w:sz w:val="17"/>
          <w:szCs w:val="17"/>
        </w:rPr>
        <w:t xml:space="preserve">Labels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SWI-PRO-LAB-302-004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SWI-PRO-LAB-302-004.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 has a carbon pattern only - resin pattern set-up is specific to ReCYN</w:t>
      </w:r>
    </w:p>
    <w:p>
      <w:pPr>
        <w:pStyle w:val="ListParagraph"/>
        <w:numPr>
          <w:ilvl w:val="0"/>
          <w:numId w:val="1"/>
        </w:numPr>
        <w:spacing w:after="60" w:line="245"/>
      </w:pPr>
      <w:r>
        <w:rPr>
          <w:rFonts w:ascii="Calibri" w:cs="Calibri" w:eastAsia="Calibri" w:hAnsi="Calibri"/>
          <w:sz w:val="17"/>
          <w:szCs w:val="17"/>
        </w:rPr>
        <w:t xml:space="preserve">Heritage register line JSEA-PRO-LAB-302-004,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JSEA-PRO-LAB-302-004  ·  Sample Pattern Set-Up - Resin Samples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