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Sample Pattern Set-Up - Dore and Bullion Samples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SWI-PRO-LAB-302-005  Sample Pattern Set-Up - Dore and Bullion Samples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JSEA-PRO-LAB-302-005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sample pattern set-up - dore and bullion samples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Lay out the dore and bullion sample pattern.</w:t>
      </w:r>
    </w:p>
    <w:p>
      <w:pPr>
        <w:pStyle w:val="ListParagraph"/>
        <w:numPr>
          <w:ilvl w:val="0"/>
          <w:numId w:val="1"/>
        </w:numPr>
        <w:spacing w:after="60" w:line="245"/>
      </w:pPr>
      <w:r>
        <w:rPr>
          <w:rFonts w:ascii="Calibri" w:cs="Calibri" w:eastAsia="Calibri" w:hAnsi="Calibri"/>
          <w:sz w:val="17"/>
          <w:szCs w:val="17"/>
        </w:rPr>
        <w:t xml:space="preserve">Bullion samples are the highest grade material in the laboratory and are under security control.</w:t>
      </w:r>
    </w:p>
    <w:p>
      <w:pPr>
        <w:spacing w:after="60" w:before="0" w:line="245"/>
      </w:pPr>
      <w:r>
        <w:rPr>
          <w:rFonts w:ascii="Calibri" w:cs="Calibri" w:eastAsia="Calibri" w:hAnsi="Calibri"/>
          <w:sz w:val="17"/>
          <w:szCs w:val="17"/>
        </w:rPr>
        <w:t xml:space="preserve">It is read with work instruction SWI-PRO-LAB-302-005,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in the controlled bullion area under the two-person rule.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Use dedicated bullion glassware and crucibles. Never use them for anything else.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Set the pattern from the batch sheet before any sample is added, and have it countersigned.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Account for every sample by mass in and mass out. Bullion samples are reconciled, not just analysed.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Run a barren flush through any shared equipment after the batch.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the batch in the bullion custody register.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bullion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in the controlled bullion area under the two-person rule.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Use dedicated bullion glassware and crucibles. Never use them for anything else.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Set the pattern from the batch sheet before any sample is added, and have it countersigned.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Account for every sample by mass in and mass out. Bullion samples are reconciled, not just analysed.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Run a barren flush through any shared equipment after the batch.</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the batch in the bullion custody register.</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racks</w:t>
      </w:r>
    </w:p>
    <w:p>
      <w:pPr>
        <w:pStyle w:val="ListParagraph"/>
        <w:numPr>
          <w:ilvl w:val="0"/>
          <w:numId w:val="1"/>
        </w:numPr>
        <w:spacing w:after="60" w:line="245"/>
      </w:pPr>
      <w:r>
        <w:rPr>
          <w:rFonts w:ascii="Calibri" w:cs="Calibri" w:eastAsia="Calibri" w:hAnsi="Calibri"/>
          <w:sz w:val="17"/>
          <w:szCs w:val="17"/>
        </w:rPr>
        <w:t xml:space="preserve">Batch sheet</w:t>
      </w:r>
    </w:p>
    <w:p>
      <w:pPr>
        <w:pStyle w:val="ListParagraph"/>
        <w:numPr>
          <w:ilvl w:val="0"/>
          <w:numId w:val="1"/>
        </w:numPr>
        <w:spacing w:after="60" w:line="245"/>
      </w:pPr>
      <w:r>
        <w:rPr>
          <w:rFonts w:ascii="Calibri" w:cs="Calibri" w:eastAsia="Calibri" w:hAnsi="Calibri"/>
          <w:sz w:val="17"/>
          <w:szCs w:val="17"/>
        </w:rPr>
        <w:t xml:space="preserve">Dedicated bullion glassware</w:t>
      </w:r>
    </w:p>
    <w:p>
      <w:pPr>
        <w:pStyle w:val="ListParagraph"/>
        <w:numPr>
          <w:ilvl w:val="0"/>
          <w:numId w:val="1"/>
        </w:numPr>
        <w:spacing w:after="60" w:line="245"/>
      </w:pPr>
      <w:r>
        <w:rPr>
          <w:rFonts w:ascii="Calibri" w:cs="Calibri" w:eastAsia="Calibri" w:hAnsi="Calibri"/>
          <w:sz w:val="17"/>
          <w:szCs w:val="17"/>
        </w:rPr>
        <w:t xml:space="preserve">Labels</w:t>
      </w:r>
    </w:p>
    <w:p>
      <w:pPr>
        <w:pStyle w:val="ListParagraph"/>
        <w:numPr>
          <w:ilvl w:val="0"/>
          <w:numId w:val="1"/>
        </w:numPr>
        <w:spacing w:after="60" w:line="245"/>
      </w:pPr>
      <w:r>
        <w:rPr>
          <w:rFonts w:ascii="Calibri" w:cs="Calibri" w:eastAsia="Calibri" w:hAnsi="Calibri"/>
          <w:sz w:val="17"/>
          <w:szCs w:val="17"/>
        </w:rPr>
        <w:t xml:space="preserve">Controlled area access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SWI-PRO-LAB-302-005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SWI-PRO-LAB-302-005.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KBK-MIR-LAB-WET-SOP-023 Pengaturan Pola Sampel Dore Aquaregia</w:t>
      </w:r>
    </w:p>
    <w:p>
      <w:pPr>
        <w:pStyle w:val="ListParagraph"/>
        <w:numPr>
          <w:ilvl w:val="0"/>
          <w:numId w:val="1"/>
        </w:numPr>
        <w:spacing w:after="60" w:line="245"/>
      </w:pPr>
      <w:r>
        <w:rPr>
          <w:rFonts w:ascii="Calibri" w:cs="Calibri" w:eastAsia="Calibri" w:hAnsi="Calibri"/>
          <w:sz w:val="17"/>
          <w:szCs w:val="17"/>
        </w:rPr>
        <w:t xml:space="preserve">Heritage register line JSEA-PRO-LAB-302-005,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JSEA-PRO-LAB-302-005  ·  Sample Pattern Set-Up - Dore and Bullion Samples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