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Aqua Regia Digest - Dore and Bullion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SWI-PRO-LAB-302-008  Aqua Regia Digest - Dore and Bullion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aqua regia digest - dore and bullion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Digest dore and bullion samples in aqua regia.</w:t>
      </w:r>
    </w:p>
    <w:p>
      <w:pPr>
        <w:spacing w:after="60" w:before="0" w:line="245"/>
      </w:pPr>
      <w:r>
        <w:rPr>
          <w:rFonts w:ascii="Calibri" w:cs="Calibri" w:eastAsia="Calibri" w:hAnsi="Calibri"/>
          <w:sz w:val="17"/>
          <w:szCs w:val="17"/>
        </w:rPr>
        <w:t xml:space="preserve">It is read with work instruction SWI-PRO-LAB-302-008,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under the two-person rule in the controlled area.</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dedicated bullion glassware only.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acid to the weighed charge in the order the method states, in the fume cupboard with the scrubber running.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Digest at the temperature and for the period the method sets. Bullion needs a complete dissolution - an undissolved prill is a low result.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complete dissolution by eye before making up. Any residue is investigated, not ignored.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Cool, make up to volume and mix by inversion.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Account for the sample mass in and the solution volume out in the custody record.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bullion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under the two-person rule in the controlled area.</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dedicated bullion glassware only.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acid to the weighed charge in the order the method states, in the fume cupboard with the scrubber running.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Digest at the temperature and for the period the method sets. Bullion needs a complete dissolution - an undissolved prill is a low result.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complete dissolution by eye before making up. Any residue is investigated, not ignored.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Cool, make up to volume and mix by inversion.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Account for the sample mass in and the solution volume out in the custody record.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Dedicated bullion beakers</w:t>
      </w:r>
    </w:p>
    <w:p>
      <w:pPr>
        <w:pStyle w:val="ListParagraph"/>
        <w:numPr>
          <w:ilvl w:val="0"/>
          <w:numId w:val="1"/>
        </w:numPr>
        <w:spacing w:after="60" w:line="245"/>
      </w:pPr>
      <w:r>
        <w:rPr>
          <w:rFonts w:ascii="Calibri" w:cs="Calibri" w:eastAsia="Calibri" w:hAnsi="Calibri"/>
          <w:sz w:val="17"/>
          <w:szCs w:val="17"/>
        </w:rPr>
        <w:t xml:space="preserve">Aqua regia reagent</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ListParagraph"/>
        <w:numPr>
          <w:ilvl w:val="0"/>
          <w:numId w:val="1"/>
        </w:numPr>
        <w:spacing w:after="60" w:line="245"/>
      </w:pPr>
      <w:r>
        <w:rPr>
          <w:rFonts w:ascii="Calibri" w:cs="Calibri" w:eastAsia="Calibri" w:hAnsi="Calibri"/>
          <w:sz w:val="17"/>
          <w:szCs w:val="17"/>
        </w:rPr>
        <w:t xml:space="preserve">Controlled area access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KBK-MIR-LAB-WET-SOP-033 Digest aquaregia untuk sampel dore</w:t>
      </w:r>
    </w:p>
    <w:p>
      <w:pPr>
        <w:pStyle w:val="ListParagraph"/>
        <w:numPr>
          <w:ilvl w:val="0"/>
          <w:numId w:val="1"/>
        </w:numPr>
        <w:spacing w:after="60" w:line="245"/>
      </w:pPr>
      <w:r>
        <w:rPr>
          <w:rFonts w:ascii="Calibri" w:cs="Calibri" w:eastAsia="Calibri" w:hAnsi="Calibri"/>
          <w:sz w:val="17"/>
          <w:szCs w:val="17"/>
        </w:rPr>
        <w:t xml:space="preserve">Heritage register line JSEA-PRO-LAB-302-008,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JSEA-PRO-LAB-302-008  ·  Aqua Regia Digest - Dore and Bullion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